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79B1" w:rsidRPr="00B55935" w:rsidRDefault="00C179B1" w:rsidP="00C179B1">
      <w:pPr>
        <w:pStyle w:val="Header"/>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#91</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R4-190</w:t>
      </w:r>
      <w:r w:rsidR="00BF4BEE">
        <w:rPr>
          <w:rFonts w:ascii="Calibri" w:eastAsia="新細明體" w:hAnsi="Calibri" w:cs="Arial"/>
          <w:noProof w:val="0"/>
          <w:sz w:val="24"/>
          <w:szCs w:val="24"/>
          <w:lang w:eastAsia="ja-JP"/>
        </w:rPr>
        <w:t>6261</w:t>
      </w:r>
      <w:bookmarkStart w:id="2" w:name="_GoBack"/>
      <w:bookmarkEnd w:id="2"/>
    </w:p>
    <w:p w:rsidR="00C179B1" w:rsidRPr="00FE72F2" w:rsidRDefault="00C179B1" w:rsidP="00C179B1">
      <w:pPr>
        <w:tabs>
          <w:tab w:val="left" w:pos="1985"/>
        </w:tabs>
        <w:jc w:val="both"/>
        <w:rPr>
          <w:rFonts w:ascii="Calibri" w:eastAsia="新細明體" w:hAnsi="Calibri"/>
          <w:sz w:val="24"/>
        </w:rPr>
      </w:pPr>
      <w:r w:rsidRPr="00FC3563">
        <w:rPr>
          <w:rFonts w:ascii="Calibri" w:eastAsia="新細明體" w:hAnsi="Calibri" w:cs="Arial"/>
          <w:b/>
          <w:sz w:val="24"/>
          <w:szCs w:val="24"/>
          <w:lang w:eastAsia="ja-JP"/>
        </w:rPr>
        <w:t>Reno, Nevada, USA, May 13</w:t>
      </w:r>
      <w:r w:rsidRPr="00FC3563">
        <w:rPr>
          <w:rFonts w:ascii="Calibri" w:eastAsia="新細明體" w:hAnsi="Calibri" w:cs="Arial"/>
          <w:b/>
          <w:sz w:val="24"/>
          <w:szCs w:val="24"/>
          <w:vertAlign w:val="superscript"/>
          <w:lang w:eastAsia="ja-JP"/>
        </w:rPr>
        <w:t>th</w:t>
      </w:r>
      <w:r>
        <w:rPr>
          <w:rFonts w:ascii="Calibri" w:eastAsia="新細明體" w:hAnsi="Calibri" w:cs="Arial"/>
          <w:b/>
          <w:sz w:val="24"/>
          <w:szCs w:val="24"/>
          <w:lang w:eastAsia="ja-JP"/>
        </w:rPr>
        <w:t xml:space="preserve"> </w:t>
      </w:r>
      <w:r w:rsidRPr="00FC3563">
        <w:rPr>
          <w:rFonts w:ascii="Calibri" w:eastAsia="新細明體" w:hAnsi="Calibri" w:cs="Arial"/>
          <w:b/>
          <w:sz w:val="24"/>
          <w:szCs w:val="24"/>
          <w:lang w:eastAsia="ja-JP"/>
        </w:rPr>
        <w:t>– 17</w:t>
      </w:r>
      <w:r w:rsidRPr="00FC3563">
        <w:rPr>
          <w:rFonts w:ascii="Calibri" w:eastAsia="新細明體" w:hAnsi="Calibri" w:cs="Arial"/>
          <w:b/>
          <w:sz w:val="24"/>
          <w:szCs w:val="24"/>
          <w:vertAlign w:val="superscript"/>
          <w:lang w:eastAsia="ja-JP"/>
        </w:rPr>
        <w:t>th</w:t>
      </w:r>
      <w:r w:rsidRPr="00FC3563">
        <w:rPr>
          <w:rFonts w:ascii="Calibri" w:eastAsia="新細明體" w:hAnsi="Calibri" w:cs="Arial"/>
          <w:b/>
          <w:sz w:val="24"/>
          <w:szCs w:val="24"/>
          <w:lang w:eastAsia="ja-JP"/>
        </w:rPr>
        <w:t>, 2019</w:t>
      </w:r>
    </w:p>
    <w:p w:rsidR="00A73AF2" w:rsidRPr="00FD1290" w:rsidRDefault="00A73AF2" w:rsidP="00A73AF2">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w:t>
      </w:r>
      <w:r w:rsidR="008800F4" w:rsidRPr="008800F4">
        <w:rPr>
          <w:rFonts w:ascii="Calibri" w:eastAsia="新細明體" w:hAnsi="Calibri" w:cs="Arial"/>
          <w:b/>
          <w:sz w:val="24"/>
          <w:szCs w:val="24"/>
          <w:lang w:eastAsia="ja-JP"/>
        </w:rPr>
        <w:t>6.10.7.5.1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1C090E">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Heading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C42B54" w:rsidRDefault="00C42B54" w:rsidP="00856A4B">
      <w:pPr>
        <w:jc w:val="both"/>
        <w:rPr>
          <w:rFonts w:eastAsia="新細明體"/>
          <w:lang w:eastAsia="zh-TW"/>
        </w:rPr>
      </w:pPr>
      <w:bookmarkStart w:id="3" w:name="OLE_LINK1"/>
      <w:bookmarkStart w:id="4" w:name="OLE_LINK2"/>
      <w:bookmarkStart w:id="5" w:name="OLE_LINK132"/>
      <w:bookmarkStart w:id="6" w:name="OLE_LINK133"/>
      <w:r>
        <w:rPr>
          <w:rFonts w:eastAsia="新細明體" w:hint="eastAsia"/>
          <w:lang w:eastAsia="zh-TW"/>
        </w:rPr>
        <w:t xml:space="preserve">In last RAN4 meeting, </w:t>
      </w:r>
      <w:r>
        <w:rPr>
          <w:rFonts w:eastAsia="新細明體"/>
          <w:lang w:eastAsia="zh-TW"/>
        </w:rPr>
        <w:t xml:space="preserve">there were good progress on the delay requirements of BWP switch. The </w:t>
      </w:r>
      <w:r w:rsidR="00796712">
        <w:rPr>
          <w:rFonts w:eastAsia="新細明體"/>
          <w:lang w:eastAsia="zh-TW"/>
        </w:rPr>
        <w:t>Agreements in Chairman’s note are captured as following</w:t>
      </w:r>
      <w:r>
        <w:rPr>
          <w:rFonts w:eastAsia="新細明體"/>
          <w:lang w:eastAsia="zh-TW"/>
        </w:rPr>
        <w:t xml:space="preserve">. </w:t>
      </w:r>
    </w:p>
    <w:tbl>
      <w:tblPr>
        <w:tblStyle w:val="TableGrid"/>
        <w:tblW w:w="0" w:type="auto"/>
        <w:tblLook w:val="04A0" w:firstRow="1" w:lastRow="0" w:firstColumn="1" w:lastColumn="0" w:noHBand="0" w:noVBand="1"/>
      </w:tblPr>
      <w:tblGrid>
        <w:gridCol w:w="9629"/>
      </w:tblGrid>
      <w:tr w:rsidR="00C42B54" w:rsidTr="00C42B54">
        <w:tc>
          <w:tcPr>
            <w:tcW w:w="9629" w:type="dxa"/>
          </w:tcPr>
          <w:p w:rsidR="00796712" w:rsidRPr="00796712" w:rsidRDefault="00796712" w:rsidP="00796712">
            <w:pPr>
              <w:rPr>
                <w:sz w:val="20"/>
              </w:rPr>
            </w:pPr>
            <w:r w:rsidRPr="00796712">
              <w:rPr>
                <w:rFonts w:hint="eastAsia"/>
                <w:sz w:val="20"/>
                <w:highlight w:val="green"/>
              </w:rPr>
              <w:t xml:space="preserve">Agreement: </w:t>
            </w:r>
            <w:r w:rsidRPr="00796712">
              <w:rPr>
                <w:sz w:val="20"/>
                <w:highlight w:val="green"/>
              </w:rPr>
              <w:t>A single delay in millisecond for all SCSs</w:t>
            </w:r>
          </w:p>
          <w:p w:rsidR="00C42B54" w:rsidRPr="00796712" w:rsidRDefault="00C42B54" w:rsidP="00C42B54">
            <w:pPr>
              <w:rPr>
                <w:rFonts w:eastAsia="新細明體"/>
                <w:sz w:val="20"/>
                <w:lang w:eastAsia="zh-TW"/>
              </w:rPr>
            </w:pPr>
          </w:p>
          <w:p w:rsidR="00796712" w:rsidRPr="00796712" w:rsidRDefault="00796712" w:rsidP="00796712">
            <w:pPr>
              <w:rPr>
                <w:sz w:val="20"/>
                <w:highlight w:val="green"/>
              </w:rPr>
            </w:pPr>
            <w:r w:rsidRPr="00796712">
              <w:rPr>
                <w:rFonts w:hint="eastAsia"/>
                <w:sz w:val="20"/>
                <w:highlight w:val="green"/>
              </w:rPr>
              <w:t xml:space="preserve">Agreement: </w:t>
            </w:r>
          </w:p>
          <w:p w:rsidR="00796712" w:rsidRPr="00796712" w:rsidRDefault="00796712" w:rsidP="00796712">
            <w:pPr>
              <w:pStyle w:val="ListParagraph"/>
              <w:numPr>
                <w:ilvl w:val="0"/>
                <w:numId w:val="28"/>
              </w:numPr>
              <w:overflowPunct w:val="0"/>
              <w:autoSpaceDE w:val="0"/>
              <w:autoSpaceDN w:val="0"/>
              <w:adjustRightInd w:val="0"/>
              <w:spacing w:after="180"/>
              <w:contextualSpacing w:val="0"/>
              <w:rPr>
                <w:sz w:val="20"/>
                <w:highlight w:val="green"/>
              </w:rPr>
            </w:pPr>
            <w:r w:rsidRPr="00796712">
              <w:rPr>
                <w:rFonts w:hint="eastAsia"/>
                <w:sz w:val="20"/>
                <w:highlight w:val="green"/>
              </w:rPr>
              <w:t>Regardless whether the carrier bandwidths containing</w:t>
            </w:r>
            <w:r w:rsidRPr="00796712">
              <w:rPr>
                <w:sz w:val="20"/>
                <w:highlight w:val="green"/>
              </w:rPr>
              <w:t xml:space="preserve"> old and new BWPs are</w:t>
            </w:r>
            <w:r w:rsidRPr="00796712">
              <w:rPr>
                <w:rFonts w:hint="eastAsia"/>
                <w:sz w:val="20"/>
                <w:highlight w:val="green"/>
              </w:rPr>
              <w:t xml:space="preserve"> overlapping or not, no AGC tuning time is needed during delay period.</w:t>
            </w:r>
          </w:p>
          <w:p w:rsidR="00796712" w:rsidRPr="00C42B54" w:rsidRDefault="00796712" w:rsidP="00796712">
            <w:pPr>
              <w:rPr>
                <w:rFonts w:eastAsia="新細明體"/>
                <w:lang w:eastAsia="zh-TW"/>
              </w:rPr>
            </w:pPr>
            <w:r w:rsidRPr="00796712">
              <w:rPr>
                <w:rFonts w:hint="eastAsia"/>
                <w:sz w:val="20"/>
                <w:highlight w:val="green"/>
              </w:rPr>
              <w:t xml:space="preserve">Agreement: </w:t>
            </w:r>
            <w:r w:rsidRPr="00796712">
              <w:rPr>
                <w:sz w:val="20"/>
                <w:highlight w:val="green"/>
              </w:rPr>
              <w:t>Worst-case delay requirements for RRC-based BWP switch</w:t>
            </w:r>
            <w:r w:rsidRPr="00796712">
              <w:rPr>
                <w:rFonts w:hint="eastAsia"/>
                <w:sz w:val="20"/>
                <w:highlight w:val="green"/>
              </w:rPr>
              <w:t xml:space="preserve"> is within the range of [5~8]ms.</w:t>
            </w:r>
          </w:p>
        </w:tc>
      </w:tr>
    </w:tbl>
    <w:p w:rsidR="00217505" w:rsidRDefault="009B73F5" w:rsidP="00217505">
      <w:pPr>
        <w:rPr>
          <w:lang w:eastAsia="zh-TW"/>
        </w:rPr>
      </w:pPr>
      <w:r>
        <w:rPr>
          <w:lang w:eastAsia="zh-TW"/>
        </w:rPr>
        <w:t xml:space="preserve">In this paper, we </w:t>
      </w:r>
      <w:r w:rsidR="00796712">
        <w:rPr>
          <w:lang w:eastAsia="zh-TW"/>
        </w:rPr>
        <w:t xml:space="preserve">provide our view on the value for </w:t>
      </w:r>
      <w:r w:rsidR="00C42B54">
        <w:rPr>
          <w:lang w:eastAsia="zh-TW"/>
        </w:rPr>
        <w:t>delay requirement for</w:t>
      </w:r>
      <w:r w:rsidR="00F30702">
        <w:rPr>
          <w:lang w:eastAsia="zh-TW"/>
        </w:rPr>
        <w:t xml:space="preserve"> </w:t>
      </w:r>
      <w:r w:rsidR="00C42B54">
        <w:rPr>
          <w:lang w:eastAsia="zh-TW"/>
        </w:rPr>
        <w:t xml:space="preserve">RRC-based </w:t>
      </w:r>
      <w:r w:rsidR="00F30702">
        <w:rPr>
          <w:lang w:eastAsia="zh-TW"/>
        </w:rPr>
        <w:t>BW</w:t>
      </w:r>
      <w:r w:rsidR="002A7216">
        <w:rPr>
          <w:lang w:eastAsia="zh-TW"/>
        </w:rPr>
        <w:t>P switch</w:t>
      </w:r>
      <w:r w:rsidR="00C42B54">
        <w:rPr>
          <w:lang w:eastAsia="zh-TW"/>
        </w:rPr>
        <w:t xml:space="preserve">. </w:t>
      </w:r>
    </w:p>
    <w:p w:rsidR="00A352D3" w:rsidRPr="005917E4" w:rsidRDefault="00B07D53" w:rsidP="00A352D3">
      <w:pPr>
        <w:pStyle w:val="Heading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A352D3" w:rsidRPr="00A352D3">
        <w:rPr>
          <w:rFonts w:ascii="Calibri" w:eastAsia="新細明體" w:hAnsi="Calibri" w:cs="Calibri"/>
          <w:b/>
          <w:sz w:val="24"/>
          <w:szCs w:val="24"/>
          <w:lang w:eastAsia="zh-TW"/>
        </w:rPr>
        <w:t>RRC-based BWP switch delay requirement</w:t>
      </w:r>
    </w:p>
    <w:p w:rsidR="005B2ABE" w:rsidRDefault="0000300B" w:rsidP="00A352D3">
      <w:pPr>
        <w:jc w:val="both"/>
      </w:pPr>
      <w:r>
        <w:rPr>
          <w:lang w:eastAsia="zh-TW"/>
        </w:rPr>
        <w:t>According to the LS [2] from RAN2, the total processing time of RRC reconfiguration with BWP switch can be divided into RRC processing part and BWP switch part. RAN2 will handle to delay of RRC processing part</w:t>
      </w:r>
      <w:r w:rsidR="00976E07">
        <w:rPr>
          <w:lang w:eastAsia="zh-TW"/>
        </w:rPr>
        <w:t xml:space="preserve"> (</w:t>
      </w:r>
      <w:r w:rsidR="00976E07" w:rsidRPr="00976E07">
        <w:t>T</w:t>
      </w:r>
      <w:r w:rsidR="00976E07" w:rsidRPr="00976E07">
        <w:rPr>
          <w:vertAlign w:val="subscript"/>
        </w:rPr>
        <w:t>RRC_delay</w:t>
      </w:r>
      <w:r w:rsidR="00976E07">
        <w:rPr>
          <w:lang w:eastAsia="zh-TW"/>
        </w:rPr>
        <w:t>)</w:t>
      </w:r>
      <w:r>
        <w:rPr>
          <w:lang w:eastAsia="zh-TW"/>
        </w:rPr>
        <w:t xml:space="preserve">, while RAN4 will handle the delay of BWP </w:t>
      </w:r>
      <w:r w:rsidR="005B2ABE">
        <w:rPr>
          <w:lang w:eastAsia="zh-TW"/>
        </w:rPr>
        <w:t>s</w:t>
      </w:r>
      <w:r>
        <w:rPr>
          <w:lang w:eastAsia="zh-TW"/>
        </w:rPr>
        <w:t>witch part</w:t>
      </w:r>
      <w:r w:rsidR="00976E07">
        <w:rPr>
          <w:lang w:eastAsia="zh-TW"/>
        </w:rPr>
        <w:t xml:space="preserve"> (</w:t>
      </w:r>
      <w:r w:rsidR="00976E07" w:rsidRPr="00976E07">
        <w:t>T</w:t>
      </w:r>
      <w:r w:rsidR="00976E07" w:rsidRPr="00976E07">
        <w:rPr>
          <w:vertAlign w:val="subscript"/>
        </w:rPr>
        <w:t>BWPswitchDelayRRC</w:t>
      </w:r>
      <w:r w:rsidR="00976E07">
        <w:rPr>
          <w:lang w:eastAsia="zh-TW"/>
        </w:rPr>
        <w:t xml:space="preserve">), as shown in </w:t>
      </w:r>
      <w:r w:rsidR="00976E07">
        <w:rPr>
          <w:lang w:eastAsia="zh-TW"/>
        </w:rPr>
        <w:fldChar w:fldCharType="begin"/>
      </w:r>
      <w:r w:rsidR="00976E07">
        <w:rPr>
          <w:lang w:eastAsia="zh-TW"/>
        </w:rPr>
        <w:instrText xml:space="preserve"> REF _Ref598116 \h  \* MERGEFORMAT </w:instrText>
      </w:r>
      <w:r w:rsidR="00976E07">
        <w:rPr>
          <w:lang w:eastAsia="zh-TW"/>
        </w:rPr>
      </w:r>
      <w:r w:rsidR="00976E07">
        <w:rPr>
          <w:lang w:eastAsia="zh-TW"/>
        </w:rPr>
        <w:fldChar w:fldCharType="separate"/>
      </w:r>
      <w:r w:rsidR="00C42B54" w:rsidRPr="00976E07">
        <w:rPr>
          <w:lang w:eastAsia="zh-TW"/>
        </w:rPr>
        <w:t xml:space="preserve">Figure </w:t>
      </w:r>
      <w:r w:rsidR="00C42B54">
        <w:rPr>
          <w:lang w:eastAsia="zh-TW"/>
        </w:rPr>
        <w:t>1</w:t>
      </w:r>
      <w:r w:rsidR="00976E07">
        <w:rPr>
          <w:lang w:eastAsia="zh-TW"/>
        </w:rPr>
        <w:fldChar w:fldCharType="end"/>
      </w:r>
      <w:r w:rsidR="00976E07">
        <w:rPr>
          <w:lang w:eastAsia="zh-TW"/>
        </w:rPr>
        <w:t>.</w:t>
      </w:r>
      <w:r w:rsidR="00936B79">
        <w:rPr>
          <w:lang w:eastAsia="zh-TW"/>
        </w:rPr>
        <w:t xml:space="preserve"> </w:t>
      </w:r>
    </w:p>
    <w:p w:rsidR="005B2ABE" w:rsidRDefault="005B2ABE" w:rsidP="00A352D3">
      <w:pPr>
        <w:jc w:val="both"/>
        <w:rPr>
          <w:rFonts w:eastAsia="新細明體"/>
          <w:lang w:eastAsia="zh-TW"/>
        </w:rPr>
      </w:pPr>
      <w:r w:rsidRPr="005B2ABE">
        <w:rPr>
          <w:noProof/>
          <w:lang w:eastAsia="zh-TW"/>
        </w:rPr>
        <w:drawing>
          <wp:inline distT="0" distB="0" distL="0" distR="0">
            <wp:extent cx="6120765" cy="1097200"/>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097200"/>
                    </a:xfrm>
                    <a:prstGeom prst="rect">
                      <a:avLst/>
                    </a:prstGeom>
                    <a:noFill/>
                    <a:ln>
                      <a:noFill/>
                    </a:ln>
                  </pic:spPr>
                </pic:pic>
              </a:graphicData>
            </a:graphic>
          </wp:inline>
        </w:drawing>
      </w:r>
    </w:p>
    <w:p w:rsidR="00976E07" w:rsidRPr="00976E07" w:rsidRDefault="00976E07" w:rsidP="00976E07">
      <w:pPr>
        <w:pStyle w:val="Caption"/>
        <w:jc w:val="center"/>
        <w:rPr>
          <w:rFonts w:eastAsia="新細明體"/>
          <w:lang w:val="en-US" w:eastAsia="zh-TW"/>
        </w:rPr>
      </w:pPr>
      <w:bookmarkStart w:id="7" w:name="_Ref598116"/>
      <w:r w:rsidRPr="00976E07">
        <w:t xml:space="preserve">Figure </w:t>
      </w:r>
      <w:r w:rsidR="00EA5AA2">
        <w:fldChar w:fldCharType="begin"/>
      </w:r>
      <w:r w:rsidR="00EA5AA2">
        <w:instrText xml:space="preserve"> SEQ Figure \* ARABIC </w:instrText>
      </w:r>
      <w:r w:rsidR="00EA5AA2">
        <w:fldChar w:fldCharType="separate"/>
      </w:r>
      <w:r w:rsidR="00C42B54">
        <w:rPr>
          <w:noProof/>
        </w:rPr>
        <w:t>1</w:t>
      </w:r>
      <w:r w:rsidR="00EA5AA2">
        <w:rPr>
          <w:noProof/>
        </w:rPr>
        <w:fldChar w:fldCharType="end"/>
      </w:r>
      <w:bookmarkEnd w:id="7"/>
      <w:r w:rsidRPr="00976E07">
        <w:rPr>
          <w:lang w:val="en-US"/>
        </w:rPr>
        <w:t xml:space="preserve">. </w:t>
      </w:r>
      <w:r w:rsidRPr="00976E07">
        <w:rPr>
          <w:lang w:val="en-US" w:eastAsia="zh-TW"/>
        </w:rPr>
        <w:t>T</w:t>
      </w:r>
      <w:r w:rsidRPr="00976E07">
        <w:rPr>
          <w:lang w:eastAsia="zh-TW"/>
        </w:rPr>
        <w:t xml:space="preserve">he total processing time of RRC reconfiguration with BWP switch </w:t>
      </w:r>
      <w:r w:rsidRPr="00976E07">
        <w:rPr>
          <w:lang w:val="en-US" w:eastAsia="zh-TW"/>
        </w:rPr>
        <w:t>is</w:t>
      </w:r>
      <w:r w:rsidRPr="00976E07">
        <w:rPr>
          <w:lang w:eastAsia="zh-TW"/>
        </w:rPr>
        <w:t xml:space="preserve"> divided into RRC processing part (</w:t>
      </w:r>
      <w:r w:rsidRPr="00976E07">
        <w:rPr>
          <w:sz w:val="22"/>
          <w:szCs w:val="22"/>
        </w:rPr>
        <w:t>T</w:t>
      </w:r>
      <w:r w:rsidRPr="00976E07">
        <w:rPr>
          <w:sz w:val="22"/>
          <w:szCs w:val="22"/>
          <w:vertAlign w:val="subscript"/>
        </w:rPr>
        <w:t>RRC_delay</w:t>
      </w:r>
      <w:r w:rsidRPr="00976E07">
        <w:rPr>
          <w:lang w:eastAsia="zh-TW"/>
        </w:rPr>
        <w:t>)</w:t>
      </w:r>
      <w:r w:rsidRPr="00976E07">
        <w:rPr>
          <w:lang w:val="en-US" w:eastAsia="zh-TW"/>
        </w:rPr>
        <w:t xml:space="preserve"> </w:t>
      </w:r>
      <w:r w:rsidRPr="00976E07">
        <w:rPr>
          <w:lang w:eastAsia="zh-TW"/>
        </w:rPr>
        <w:t>and BWP switch part</w:t>
      </w:r>
      <w:r w:rsidRPr="00976E07">
        <w:rPr>
          <w:lang w:val="en-US" w:eastAsia="zh-TW"/>
        </w:rPr>
        <w:t xml:space="preserve"> </w:t>
      </w:r>
      <w:r w:rsidRPr="00976E07">
        <w:rPr>
          <w:lang w:eastAsia="zh-TW"/>
        </w:rPr>
        <w:t>(</w:t>
      </w:r>
      <w:r w:rsidRPr="00976E07">
        <w:rPr>
          <w:sz w:val="22"/>
          <w:szCs w:val="22"/>
        </w:rPr>
        <w:t>T</w:t>
      </w:r>
      <w:r w:rsidRPr="00976E07">
        <w:rPr>
          <w:sz w:val="22"/>
          <w:szCs w:val="22"/>
          <w:vertAlign w:val="subscript"/>
        </w:rPr>
        <w:t>BWPswitchDelayRRC</w:t>
      </w:r>
      <w:r w:rsidRPr="00976E07">
        <w:rPr>
          <w:lang w:eastAsia="zh-TW"/>
        </w:rPr>
        <w:t>).</w:t>
      </w:r>
    </w:p>
    <w:p w:rsidR="00427E19" w:rsidRDefault="00427E19" w:rsidP="00A352D3">
      <w:pPr>
        <w:jc w:val="both"/>
        <w:rPr>
          <w:rFonts w:eastAsia="新細明體"/>
          <w:lang w:eastAsia="zh-TW"/>
        </w:rPr>
      </w:pPr>
    </w:p>
    <w:p w:rsidR="00FA16C2" w:rsidRDefault="00FA16C2" w:rsidP="00FA16C2">
      <w:pPr>
        <w:jc w:val="both"/>
        <w:rPr>
          <w:lang w:eastAsia="zh-TW"/>
        </w:rPr>
      </w:pPr>
      <w:r>
        <w:rPr>
          <w:lang w:eastAsia="zh-TW"/>
        </w:rPr>
        <w:t xml:space="preserve">Note that the RRC reconfiguration may involve changes not only for BWP but also changes for other settings, such as measurement gap/object, </w:t>
      </w:r>
      <w:r w:rsidR="00542D4A">
        <w:rPr>
          <w:lang w:eastAsia="zh-TW"/>
        </w:rPr>
        <w:t xml:space="preserve">per-CC </w:t>
      </w:r>
      <w:r>
        <w:rPr>
          <w:lang w:eastAsia="zh-TW"/>
        </w:rPr>
        <w:t xml:space="preserve">MIMO layer, CSI resource and reporting, UL carrier… etc. Therefore, from the viewpoint of minimum requirement, RAN4 should assume that UE is already full loaded in the interval of </w:t>
      </w:r>
      <w:r w:rsidRPr="00976E07">
        <w:rPr>
          <w:rFonts w:ascii="Times New Roman" w:hAnsi="Times New Roman" w:cs="Times New Roman"/>
        </w:rPr>
        <w:t>T</w:t>
      </w:r>
      <w:r w:rsidRPr="00976E07">
        <w:rPr>
          <w:rFonts w:ascii="Times New Roman" w:hAnsi="Times New Roman" w:cs="Times New Roman"/>
          <w:vertAlign w:val="subscript"/>
        </w:rPr>
        <w:t>RRC_delay</w:t>
      </w:r>
      <w:r>
        <w:rPr>
          <w:lang w:eastAsia="zh-TW"/>
        </w:rPr>
        <w:t xml:space="preserve"> and that all the BWP-related processing is handled in the interval of </w:t>
      </w:r>
      <w:r w:rsidRPr="00976E07">
        <w:rPr>
          <w:rFonts w:ascii="Times New Roman" w:hAnsi="Times New Roman" w:cs="Times New Roman"/>
        </w:rPr>
        <w:t>T</w:t>
      </w:r>
      <w:r w:rsidRPr="00976E07">
        <w:rPr>
          <w:rFonts w:ascii="Times New Roman" w:hAnsi="Times New Roman" w:cs="Times New Roman"/>
          <w:vertAlign w:val="subscript"/>
        </w:rPr>
        <w:t>BWPswitchDelayRRC</w:t>
      </w:r>
      <w:r>
        <w:rPr>
          <w:lang w:eastAsia="zh-TW"/>
        </w:rPr>
        <w:t>.</w:t>
      </w:r>
    </w:p>
    <w:p w:rsidR="00A352D3" w:rsidRDefault="006E0866" w:rsidP="006E0866">
      <w:pPr>
        <w:jc w:val="both"/>
        <w:rPr>
          <w:lang w:eastAsia="zh-TW"/>
        </w:rPr>
      </w:pPr>
      <w:r>
        <w:rPr>
          <w:rFonts w:eastAsia="新細明體"/>
          <w:lang w:eastAsia="zh-TW"/>
        </w:rPr>
        <w:t>It was agreed in the ad-hoc meeting minutes [3] that RAN4 will define a single delay requirement for Case 1 and Case 2 [1]</w:t>
      </w:r>
      <w:r w:rsidR="0000300B">
        <w:rPr>
          <w:lang w:eastAsia="zh-TW"/>
        </w:rPr>
        <w:t>.</w:t>
      </w:r>
    </w:p>
    <w:tbl>
      <w:tblPr>
        <w:tblStyle w:val="TableGrid"/>
        <w:tblW w:w="0" w:type="auto"/>
        <w:tblInd w:w="440" w:type="dxa"/>
        <w:tblLook w:val="04A0" w:firstRow="1" w:lastRow="0" w:firstColumn="1" w:lastColumn="0" w:noHBand="0" w:noVBand="1"/>
      </w:tblPr>
      <w:tblGrid>
        <w:gridCol w:w="9189"/>
      </w:tblGrid>
      <w:tr w:rsidR="0000300B" w:rsidTr="0000300B">
        <w:tc>
          <w:tcPr>
            <w:tcW w:w="9629" w:type="dxa"/>
          </w:tcPr>
          <w:p w:rsidR="0000300B" w:rsidRPr="0000300B" w:rsidRDefault="0000300B" w:rsidP="0000300B">
            <w:pPr>
              <w:jc w:val="both"/>
              <w:rPr>
                <w:rFonts w:eastAsia="SimSun" w:cs="Times New Roman"/>
                <w:lang w:eastAsia="x-none"/>
              </w:rPr>
            </w:pPr>
            <w:r w:rsidRPr="0000300B">
              <w:rPr>
                <w:rFonts w:eastAsia="SimSun" w:cs="Times New Roman"/>
                <w:u w:val="single"/>
                <w:lang w:eastAsia="x-none"/>
              </w:rPr>
              <w:t xml:space="preserve">Case 1: </w:t>
            </w:r>
            <w:r w:rsidRPr="0000300B">
              <w:rPr>
                <w:rFonts w:eastAsia="SimSun" w:cs="Times New Roman"/>
                <w:lang w:eastAsia="x-none"/>
              </w:rPr>
              <w:t>BWP switch to another existing BWP configuration</w:t>
            </w:r>
          </w:p>
          <w:p w:rsidR="00CA13E3" w:rsidRPr="0000300B" w:rsidRDefault="004909C6" w:rsidP="0000300B">
            <w:pPr>
              <w:numPr>
                <w:ilvl w:val="0"/>
                <w:numId w:val="26"/>
              </w:numPr>
              <w:jc w:val="both"/>
              <w:rPr>
                <w:rFonts w:eastAsia="SimSun" w:cs="Times New Roman"/>
                <w:lang w:eastAsia="x-none"/>
              </w:rPr>
            </w:pPr>
            <w:r w:rsidRPr="0000300B">
              <w:rPr>
                <w:rFonts w:eastAsia="SimSun" w:cs="Times New Roman"/>
                <w:lang w:eastAsia="x-none"/>
              </w:rPr>
              <w:t>No change to any of the existing configured BWPs</w:t>
            </w:r>
          </w:p>
          <w:p w:rsidR="0000300B" w:rsidRPr="0000300B" w:rsidRDefault="0000300B" w:rsidP="0000300B">
            <w:pPr>
              <w:jc w:val="both"/>
              <w:rPr>
                <w:rFonts w:eastAsia="SimSun" w:cs="Times New Roman"/>
                <w:lang w:eastAsia="x-none"/>
              </w:rPr>
            </w:pPr>
            <w:r w:rsidRPr="0000300B">
              <w:rPr>
                <w:rFonts w:eastAsia="SimSun" w:cs="Times New Roman"/>
                <w:u w:val="single"/>
                <w:lang w:eastAsia="x-none"/>
              </w:rPr>
              <w:t xml:space="preserve">Case 2: </w:t>
            </w:r>
            <w:r w:rsidRPr="0000300B">
              <w:rPr>
                <w:rFonts w:eastAsia="SimSun" w:cs="Times New Roman"/>
                <w:lang w:eastAsia="x-none"/>
              </w:rPr>
              <w:t xml:space="preserve">BWP switch to a new BWP configured by the same RRC re-configuration signaling  </w:t>
            </w:r>
          </w:p>
          <w:p w:rsidR="0000300B" w:rsidRPr="0000300B" w:rsidRDefault="004909C6" w:rsidP="0000300B">
            <w:pPr>
              <w:numPr>
                <w:ilvl w:val="0"/>
                <w:numId w:val="27"/>
              </w:numPr>
              <w:jc w:val="both"/>
              <w:rPr>
                <w:rFonts w:eastAsia="SimSun" w:cs="Times New Roman"/>
                <w:lang w:eastAsia="x-none"/>
              </w:rPr>
            </w:pPr>
            <w:r w:rsidRPr="0000300B">
              <w:rPr>
                <w:rFonts w:eastAsia="SimSun" w:cs="Times New Roman"/>
                <w:lang w:eastAsia="x-none"/>
              </w:rPr>
              <w:lastRenderedPageBreak/>
              <w:t>New BWP configurations are added and activated with different parameters to current active BWP through RRC reconfiguration</w:t>
            </w:r>
          </w:p>
        </w:tc>
      </w:tr>
    </w:tbl>
    <w:p w:rsidR="006E0866" w:rsidRDefault="006E0866" w:rsidP="005B2ABE">
      <w:pPr>
        <w:jc w:val="both"/>
        <w:rPr>
          <w:rFonts w:eastAsia="SimSun" w:cs="Times New Roman"/>
          <w:lang w:eastAsia="x-none"/>
        </w:rPr>
      </w:pPr>
      <w:r>
        <w:rPr>
          <w:rFonts w:eastAsia="SimSun" w:cs="Times New Roman" w:hint="eastAsia"/>
          <w:lang w:eastAsia="x-none"/>
        </w:rPr>
        <w:lastRenderedPageBreak/>
        <w:t>In our opinion, this means RAN4 will specify the requirement based on the worse case, which is Case 2.</w:t>
      </w:r>
    </w:p>
    <w:p w:rsidR="0000300B" w:rsidRDefault="00DF04BF" w:rsidP="00796712">
      <w:pPr>
        <w:jc w:val="both"/>
        <w:rPr>
          <w:rFonts w:eastAsia="SimSun" w:cs="Times New Roman"/>
          <w:lang w:eastAsia="x-none"/>
        </w:rPr>
      </w:pPr>
      <w:r>
        <w:rPr>
          <w:rFonts w:eastAsia="SimSun" w:cs="Times New Roman"/>
          <w:lang w:eastAsia="x-none"/>
        </w:rPr>
        <w:t xml:space="preserve">For </w:t>
      </w:r>
      <w:r w:rsidR="008B4B20">
        <w:rPr>
          <w:rFonts w:eastAsia="SimSun" w:cs="Times New Roman"/>
          <w:lang w:eastAsia="x-none"/>
        </w:rPr>
        <w:t>Case 2,</w:t>
      </w:r>
      <w:r>
        <w:rPr>
          <w:rFonts w:eastAsia="SimSun" w:cs="Times New Roman"/>
          <w:lang w:eastAsia="x-none"/>
        </w:rPr>
        <w:t xml:space="preserve"> </w:t>
      </w:r>
      <w:r w:rsidR="008B4B20">
        <w:rPr>
          <w:rFonts w:eastAsia="SimSun" w:cs="Times New Roman"/>
          <w:lang w:eastAsia="x-none"/>
        </w:rPr>
        <w:t>UE has to finish all related calculations</w:t>
      </w:r>
      <w:r>
        <w:rPr>
          <w:rFonts w:eastAsia="SimSun" w:cs="Times New Roman"/>
          <w:lang w:eastAsia="x-none"/>
        </w:rPr>
        <w:t xml:space="preserve"> (including RF and Baseband parameters)</w:t>
      </w:r>
      <w:r w:rsidR="008B4B20">
        <w:rPr>
          <w:rFonts w:eastAsia="SimSun" w:cs="Times New Roman"/>
          <w:lang w:eastAsia="x-none"/>
        </w:rPr>
        <w:t xml:space="preserve"> in </w:t>
      </w:r>
      <w:r w:rsidR="008B4B20" w:rsidRPr="00976E07">
        <w:rPr>
          <w:rFonts w:ascii="Times New Roman" w:hAnsi="Times New Roman" w:cs="Times New Roman"/>
        </w:rPr>
        <w:t>T</w:t>
      </w:r>
      <w:r w:rsidR="008B4B20" w:rsidRPr="00976E07">
        <w:rPr>
          <w:rFonts w:ascii="Times New Roman" w:hAnsi="Times New Roman" w:cs="Times New Roman"/>
          <w:vertAlign w:val="subscript"/>
        </w:rPr>
        <w:t>BWPswitchDelayRRC</w:t>
      </w:r>
      <w:r w:rsidR="008B4B20">
        <w:rPr>
          <w:rFonts w:eastAsia="SimSun" w:cs="Times New Roman"/>
          <w:lang w:eastAsia="x-none"/>
        </w:rPr>
        <w:t xml:space="preserve">. Therefore the switch time could be longer than </w:t>
      </w:r>
      <w:r w:rsidR="0034286F">
        <w:rPr>
          <w:rFonts w:eastAsia="SimSun" w:cs="Times New Roman"/>
          <w:lang w:eastAsia="x-none"/>
        </w:rPr>
        <w:t>DCI-based BWP switch</w:t>
      </w:r>
      <w:r w:rsidR="008B4B20">
        <w:rPr>
          <w:rFonts w:eastAsia="SimSun" w:cs="Times New Roman"/>
          <w:lang w:eastAsia="x-none"/>
        </w:rPr>
        <w:t>.</w:t>
      </w:r>
      <w:r w:rsidR="0034286F">
        <w:rPr>
          <w:rFonts w:eastAsia="SimSun" w:cs="Times New Roman"/>
          <w:lang w:eastAsia="x-none"/>
        </w:rPr>
        <w:t xml:space="preserve"> </w:t>
      </w:r>
      <w:r w:rsidR="00796712">
        <w:rPr>
          <w:rFonts w:eastAsia="SimSun" w:cs="Times New Roman"/>
          <w:lang w:eastAsia="x-none"/>
        </w:rPr>
        <w:t>Moreover, t</w:t>
      </w:r>
      <w:r w:rsidR="00911845">
        <w:rPr>
          <w:rFonts w:eastAsia="SimSun" w:cs="Times New Roman"/>
          <w:lang w:eastAsia="x-none"/>
        </w:rPr>
        <w:t xml:space="preserve">his RRC-based BWP switch can actually reconfigure the BWPs in </w:t>
      </w:r>
      <w:r w:rsidR="00911845" w:rsidRPr="002046B2">
        <w:rPr>
          <w:rFonts w:eastAsia="SimSun" w:cs="Times New Roman"/>
          <w:u w:val="single"/>
          <w:lang w:eastAsia="x-none"/>
        </w:rPr>
        <w:t>multiple CCs</w:t>
      </w:r>
      <w:r w:rsidR="00911845">
        <w:rPr>
          <w:rFonts w:eastAsia="SimSun" w:cs="Times New Roman"/>
          <w:lang w:eastAsia="x-none"/>
        </w:rPr>
        <w:t xml:space="preserve"> in one </w:t>
      </w:r>
      <w:r w:rsidR="00FA16C2">
        <w:rPr>
          <w:rFonts w:eastAsia="SimSun" w:cs="Times New Roman"/>
          <w:lang w:eastAsia="x-none"/>
        </w:rPr>
        <w:t xml:space="preserve">single </w:t>
      </w:r>
      <w:r w:rsidR="00911845">
        <w:rPr>
          <w:rFonts w:eastAsia="SimSun" w:cs="Times New Roman"/>
          <w:lang w:eastAsia="x-none"/>
        </w:rPr>
        <w:t xml:space="preserve">RRC reconfiguration. In this case, </w:t>
      </w:r>
      <w:r w:rsidR="00796712">
        <w:rPr>
          <w:rFonts w:eastAsia="SimSun" w:cs="Times New Roman"/>
          <w:lang w:eastAsia="x-none"/>
        </w:rPr>
        <w:t xml:space="preserve">we suggest to define </w:t>
      </w:r>
      <w:r w:rsidR="00796712" w:rsidRPr="00976E07">
        <w:rPr>
          <w:rFonts w:ascii="Times New Roman" w:hAnsi="Times New Roman" w:cs="Times New Roman"/>
        </w:rPr>
        <w:t>T</w:t>
      </w:r>
      <w:r w:rsidR="00796712" w:rsidRPr="00976E07">
        <w:rPr>
          <w:rFonts w:ascii="Times New Roman" w:hAnsi="Times New Roman" w:cs="Times New Roman"/>
          <w:vertAlign w:val="subscript"/>
        </w:rPr>
        <w:t>BWPswitchDelayRRC</w:t>
      </w:r>
      <w:r w:rsidR="00796712">
        <w:rPr>
          <w:rFonts w:eastAsia="SimSun" w:cs="Times New Roman"/>
          <w:lang w:eastAsia="x-none"/>
        </w:rPr>
        <w:t xml:space="preserve"> = 6 ms, since this</w:t>
      </w:r>
      <w:r w:rsidR="00FA16C2">
        <w:rPr>
          <w:rFonts w:eastAsia="SimSun" w:cs="Times New Roman"/>
          <w:lang w:eastAsia="x-none"/>
        </w:rPr>
        <w:t xml:space="preserve"> RRC-based BWP switch is not an urgent event to both UE and network</w:t>
      </w:r>
      <w:r w:rsidR="00796712">
        <w:rPr>
          <w:rFonts w:eastAsia="SimSun" w:cs="Times New Roman"/>
          <w:lang w:eastAsia="x-none"/>
        </w:rPr>
        <w:t xml:space="preserve">. </w:t>
      </w:r>
      <w:r w:rsidR="00DA7D61">
        <w:rPr>
          <w:rFonts w:eastAsia="SimSun" w:cs="Times New Roman"/>
          <w:lang w:eastAsia="x-none"/>
        </w:rPr>
        <w:t>Regarding other possibility to specify a shorter switch delay, e.g., only changing some parameters that can be reconfigured fast, can be left as an enhancement in later releases.</w:t>
      </w:r>
    </w:p>
    <w:p w:rsidR="006E0866" w:rsidRPr="00410359" w:rsidRDefault="00A83060" w:rsidP="006E0866">
      <w:pPr>
        <w:pStyle w:val="Caption"/>
        <w:jc w:val="both"/>
        <w:rPr>
          <w:lang w:val="en-US"/>
        </w:rPr>
      </w:pPr>
      <w:bookmarkStart w:id="8" w:name="_Ref603446"/>
      <w:r>
        <w:t xml:space="preserve">Proposal </w:t>
      </w:r>
      <w:r w:rsidR="00EA5AA2">
        <w:fldChar w:fldCharType="begin"/>
      </w:r>
      <w:r w:rsidR="00EA5AA2">
        <w:instrText xml:space="preserve"> SEQ Proposal \* ARABIC </w:instrText>
      </w:r>
      <w:r w:rsidR="00EA5AA2">
        <w:fldChar w:fldCharType="separate"/>
      </w:r>
      <w:r w:rsidR="00796712">
        <w:rPr>
          <w:noProof/>
        </w:rPr>
        <w:t>1</w:t>
      </w:r>
      <w:r w:rsidR="00EA5AA2">
        <w:rPr>
          <w:noProof/>
        </w:rPr>
        <w:fldChar w:fldCharType="end"/>
      </w:r>
      <w:r w:rsidR="00DA7D61">
        <w:rPr>
          <w:noProof/>
          <w:lang w:val="en-US"/>
        </w:rPr>
        <w:t xml:space="preserve">: </w:t>
      </w:r>
      <w:r w:rsidR="00DA7D61" w:rsidRPr="00976E07">
        <w:rPr>
          <w:sz w:val="22"/>
          <w:szCs w:val="22"/>
        </w:rPr>
        <w:t>T</w:t>
      </w:r>
      <w:r w:rsidR="00DA7D61" w:rsidRPr="00976E07">
        <w:rPr>
          <w:sz w:val="22"/>
          <w:szCs w:val="22"/>
          <w:vertAlign w:val="subscript"/>
        </w:rPr>
        <w:t>BWPswitchDelayRRC</w:t>
      </w:r>
      <w:r w:rsidR="00796712">
        <w:rPr>
          <w:sz w:val="22"/>
          <w:szCs w:val="22"/>
          <w:lang w:val="en-US"/>
        </w:rPr>
        <w:t xml:space="preserve"> is 6</w:t>
      </w:r>
      <w:r w:rsidR="00DA7D61">
        <w:rPr>
          <w:sz w:val="22"/>
          <w:szCs w:val="22"/>
          <w:lang w:val="en-US"/>
        </w:rPr>
        <w:t xml:space="preserve"> ms for all UEs in Rel-15. </w:t>
      </w:r>
      <w:r w:rsidR="00E441A7">
        <w:rPr>
          <w:sz w:val="22"/>
          <w:szCs w:val="22"/>
          <w:lang w:val="en-US"/>
        </w:rPr>
        <w:t>R</w:t>
      </w:r>
      <w:r w:rsidR="00DA7D61">
        <w:rPr>
          <w:sz w:val="22"/>
          <w:szCs w:val="22"/>
          <w:lang w:val="en-US"/>
        </w:rPr>
        <w:t>equirements for shorter delay can be considered as an enhancement in later releases</w:t>
      </w:r>
      <w:bookmarkEnd w:id="8"/>
      <w:r w:rsidR="00DA7D61">
        <w:rPr>
          <w:sz w:val="22"/>
          <w:szCs w:val="22"/>
          <w:lang w:val="en-US"/>
        </w:rPr>
        <w:t>.</w:t>
      </w:r>
    </w:p>
    <w:p w:rsidR="006C4A2D" w:rsidRPr="00410359" w:rsidRDefault="006C4A2D" w:rsidP="00410359">
      <w:pPr>
        <w:pStyle w:val="Caption"/>
        <w:jc w:val="center"/>
        <w:rPr>
          <w:lang w:val="en-US"/>
        </w:rPr>
      </w:pPr>
    </w:p>
    <w:p w:rsidR="00085372" w:rsidRDefault="00800788" w:rsidP="008B6D18">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5046E2"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3"/>
      <w:bookmarkEnd w:id="4"/>
      <w:bookmarkEnd w:id="5"/>
      <w:bookmarkEnd w:id="6"/>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delay </w:t>
      </w:r>
      <w:r w:rsidR="00F27932">
        <w:rPr>
          <w:rFonts w:ascii="Calibri" w:eastAsia="新細明體" w:hAnsi="Calibri" w:cs="Calibri"/>
          <w:color w:val="0D0D0D"/>
          <w:lang w:eastAsia="zh-TW"/>
        </w:rPr>
        <w:t>requirements</w:t>
      </w:r>
      <w:r w:rsidR="00F72752">
        <w:rPr>
          <w:rFonts w:ascii="Calibri" w:eastAsia="新細明體" w:hAnsi="Calibri" w:cs="Calibri"/>
          <w:color w:val="0D0D0D"/>
          <w:lang w:eastAsia="zh-TW"/>
        </w:rPr>
        <w:t>. We have the follo</w:t>
      </w:r>
      <w:r w:rsidR="0032270C">
        <w:rPr>
          <w:rFonts w:ascii="Calibri" w:eastAsia="新細明體" w:hAnsi="Calibri" w:cs="Calibri"/>
          <w:color w:val="0D0D0D"/>
          <w:lang w:eastAsia="zh-TW"/>
        </w:rPr>
        <w:t>wing observation and proposals.</w:t>
      </w:r>
    </w:p>
    <w:p w:rsidR="005046E2" w:rsidRPr="00BF44DE" w:rsidRDefault="005046E2" w:rsidP="00AC359E">
      <w:pPr>
        <w:jc w:val="both"/>
        <w:rPr>
          <w:rFonts w:ascii="Times New Roman" w:eastAsia="SimSun" w:hAnsi="Times New Roman" w:cs="Times New Roman"/>
          <w:b/>
          <w:sz w:val="20"/>
          <w:szCs w:val="20"/>
          <w:lang w:eastAsia="x-none"/>
        </w:rPr>
      </w:pPr>
      <w:r w:rsidRPr="00DA7D61">
        <w:rPr>
          <w:rFonts w:ascii="Times New Roman" w:hAnsi="Times New Roman" w:cs="Times New Roman"/>
          <w:b/>
        </w:rPr>
        <w:fldChar w:fldCharType="begin"/>
      </w:r>
      <w:r w:rsidRPr="00DA7D61">
        <w:rPr>
          <w:rFonts w:ascii="Times New Roman" w:hAnsi="Times New Roman" w:cs="Times New Roman"/>
          <w:b/>
        </w:rPr>
        <w:instrText xml:space="preserve"> REF _Ref603446 \h </w:instrText>
      </w:r>
      <w:r w:rsidR="0032270C" w:rsidRPr="00DA7D61">
        <w:rPr>
          <w:rFonts w:ascii="Times New Roman" w:hAnsi="Times New Roman" w:cs="Times New Roman"/>
          <w:b/>
        </w:rPr>
        <w:instrText xml:space="preserve"> \* MERGEFORMAT </w:instrText>
      </w:r>
      <w:r w:rsidRPr="00DA7D61">
        <w:rPr>
          <w:rFonts w:ascii="Times New Roman" w:hAnsi="Times New Roman" w:cs="Times New Roman"/>
          <w:b/>
        </w:rPr>
      </w:r>
      <w:r w:rsidRPr="00DA7D61">
        <w:rPr>
          <w:rFonts w:ascii="Times New Roman" w:hAnsi="Times New Roman" w:cs="Times New Roman"/>
          <w:b/>
        </w:rPr>
        <w:fldChar w:fldCharType="separate"/>
      </w:r>
      <w:r w:rsidR="00796712" w:rsidRPr="00796712">
        <w:rPr>
          <w:rFonts w:ascii="Times New Roman" w:hAnsi="Times New Roman" w:cs="Times New Roman"/>
          <w:b/>
        </w:rPr>
        <w:t>Proposal 1: T</w:t>
      </w:r>
      <w:r w:rsidR="00796712" w:rsidRPr="00796712">
        <w:rPr>
          <w:rFonts w:ascii="Times New Roman" w:hAnsi="Times New Roman" w:cs="Times New Roman"/>
          <w:b/>
          <w:vertAlign w:val="subscript"/>
        </w:rPr>
        <w:t>BWPswitchDelayRRC</w:t>
      </w:r>
      <w:r w:rsidR="00796712">
        <w:rPr>
          <w:rFonts w:ascii="Times New Roman" w:hAnsi="Times New Roman" w:cs="Times New Roman"/>
          <w:b/>
        </w:rPr>
        <w:t xml:space="preserve"> is 6</w:t>
      </w:r>
      <w:r w:rsidR="00796712" w:rsidRPr="00796712">
        <w:rPr>
          <w:rFonts w:ascii="Times New Roman" w:hAnsi="Times New Roman" w:cs="Times New Roman"/>
          <w:b/>
        </w:rPr>
        <w:t xml:space="preserve"> ms for all UEs in Rel-15. Requirements for shorter delay can be considered as an enhancement in later releases</w:t>
      </w:r>
      <w:r w:rsidRPr="00DA7D61">
        <w:rPr>
          <w:rFonts w:ascii="Times New Roman" w:hAnsi="Times New Roman" w:cs="Times New Roman"/>
          <w:b/>
        </w:rPr>
        <w:fldChar w:fldCharType="end"/>
      </w:r>
      <w:r w:rsidR="00F274FB">
        <w:rPr>
          <w:rFonts w:ascii="Times New Roman" w:hAnsi="Times New Roman" w:cs="Times New Roman"/>
          <w:b/>
        </w:rPr>
        <w:t xml:space="preserve">. </w:t>
      </w:r>
    </w:p>
    <w:p w:rsidR="00AF7AA6" w:rsidRDefault="00800788" w:rsidP="00AF7AA6">
      <w:pPr>
        <w:pStyle w:val="Heading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4C6C43" w:rsidRDefault="007807F4"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9D435E" w:rsidRPr="009D435E">
        <w:rPr>
          <w:rFonts w:ascii="Calibri" w:eastAsia="新細明體" w:hAnsi="Calibri" w:cs="Calibri"/>
          <w:color w:val="0D0D0D"/>
          <w:sz w:val="20"/>
          <w:lang w:eastAsia="zh-TW"/>
        </w:rPr>
        <w:t>R4-1816689</w:t>
      </w:r>
      <w:r w:rsidR="00613426">
        <w:rPr>
          <w:rFonts w:ascii="Calibri" w:eastAsia="新細明體" w:hAnsi="Calibri" w:cs="Calibri"/>
          <w:color w:val="0D0D0D"/>
          <w:sz w:val="20"/>
          <w:lang w:eastAsia="zh-TW"/>
        </w:rPr>
        <w:t>,</w:t>
      </w:r>
      <w:r w:rsidR="00613426" w:rsidRPr="00613426">
        <w:rPr>
          <w:rFonts w:ascii="Calibri" w:eastAsia="新細明體" w:hAnsi="Calibri" w:cs="Calibri"/>
          <w:color w:val="0D0D0D"/>
          <w:sz w:val="20"/>
          <w:lang w:eastAsia="zh-TW"/>
        </w:rPr>
        <w:tab/>
      </w:r>
      <w:r w:rsidR="00613426">
        <w:rPr>
          <w:rFonts w:ascii="Calibri" w:eastAsia="新細明體" w:hAnsi="Calibri" w:cs="Calibri"/>
          <w:color w:val="0D0D0D"/>
          <w:sz w:val="20"/>
          <w:lang w:eastAsia="zh-TW"/>
        </w:rPr>
        <w:t>“</w:t>
      </w:r>
      <w:r w:rsidR="009D435E" w:rsidRPr="009D435E">
        <w:rPr>
          <w:rFonts w:ascii="Calibri" w:eastAsia="新細明體" w:hAnsi="Calibri" w:cs="Calibri"/>
          <w:color w:val="0D0D0D"/>
          <w:sz w:val="20"/>
          <w:lang w:val="en-GB" w:eastAsia="zh-TW"/>
        </w:rPr>
        <w:t>WF on RRC and MAC based BWP switching</w:t>
      </w:r>
      <w:r w:rsidR="00613426">
        <w:rPr>
          <w:rFonts w:ascii="Calibri" w:eastAsia="新細明體" w:hAnsi="Calibri" w:cs="Calibri"/>
          <w:color w:val="0D0D0D"/>
          <w:sz w:val="20"/>
          <w:lang w:eastAsia="zh-TW"/>
        </w:rPr>
        <w:t xml:space="preserve">”, </w:t>
      </w:r>
      <w:r w:rsidR="009D435E" w:rsidRPr="009D435E">
        <w:rPr>
          <w:rFonts w:ascii="Calibri" w:eastAsia="新細明體" w:hAnsi="Calibri" w:cs="Calibri"/>
          <w:color w:val="0D0D0D"/>
          <w:sz w:val="20"/>
          <w:lang w:eastAsia="zh-TW"/>
        </w:rPr>
        <w:t>Nokia, Nokia Shanghai Bell, Mediatek Inc.</w:t>
      </w:r>
    </w:p>
    <w:p w:rsidR="004A7DFE" w:rsidRDefault="004A7DFE"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[2] </w:t>
      </w:r>
      <w:r w:rsidRPr="004A7DFE">
        <w:rPr>
          <w:rFonts w:ascii="Calibri" w:eastAsia="新細明體" w:hAnsi="Calibri" w:cs="Calibri"/>
          <w:color w:val="0D0D0D"/>
          <w:sz w:val="20"/>
          <w:lang w:eastAsia="zh-TW"/>
        </w:rPr>
        <w:t>R4-1816420</w:t>
      </w:r>
      <w:r>
        <w:rPr>
          <w:rFonts w:ascii="Calibri" w:eastAsia="新細明體" w:hAnsi="Calibri" w:cs="Calibri"/>
          <w:color w:val="0D0D0D"/>
          <w:sz w:val="20"/>
          <w:lang w:eastAsia="zh-TW"/>
        </w:rPr>
        <w:t>, “</w:t>
      </w:r>
      <w:r w:rsidRPr="004A7DFE">
        <w:rPr>
          <w:rFonts w:ascii="Calibri" w:eastAsia="新細明體" w:hAnsi="Calibri" w:cs="Calibri"/>
          <w:color w:val="0D0D0D"/>
          <w:sz w:val="20"/>
          <w:lang w:eastAsia="zh-TW"/>
        </w:rPr>
        <w:t>LS on RRC processing delay for BWP switching</w:t>
      </w:r>
      <w:r>
        <w:rPr>
          <w:rFonts w:ascii="Calibri" w:eastAsia="新細明體" w:hAnsi="Calibri" w:cs="Calibri"/>
          <w:color w:val="0D0D0D"/>
          <w:sz w:val="20"/>
          <w:lang w:eastAsia="zh-TW"/>
        </w:rPr>
        <w:t>”, RAN2</w:t>
      </w:r>
      <w:r w:rsidR="003E66CC">
        <w:rPr>
          <w:rFonts w:ascii="Calibri" w:eastAsia="新細明體" w:hAnsi="Calibri" w:cs="Calibri"/>
          <w:color w:val="0D0D0D"/>
          <w:sz w:val="20"/>
          <w:lang w:eastAsia="zh-TW"/>
        </w:rPr>
        <w:t xml:space="preserve"> </w:t>
      </w:r>
    </w:p>
    <w:p w:rsidR="00E12CD1" w:rsidRDefault="00E12CD1"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[3] </w:t>
      </w:r>
      <w:r w:rsidRPr="00E12CD1">
        <w:rPr>
          <w:rFonts w:ascii="Calibri" w:eastAsia="新細明體" w:hAnsi="Calibri" w:cs="Calibri"/>
          <w:color w:val="0D0D0D"/>
          <w:sz w:val="20"/>
          <w:lang w:eastAsia="zh-TW"/>
        </w:rPr>
        <w:t>R4-190</w:t>
      </w:r>
      <w:r w:rsidR="006E0866">
        <w:rPr>
          <w:rFonts w:ascii="Calibri" w:eastAsia="新細明體" w:hAnsi="Calibri" w:cs="Calibri"/>
          <w:color w:val="0D0D0D"/>
          <w:sz w:val="20"/>
          <w:lang w:eastAsia="zh-TW"/>
        </w:rPr>
        <w:t>2378</w:t>
      </w:r>
      <w:r>
        <w:rPr>
          <w:rFonts w:ascii="Calibri" w:eastAsia="新細明體" w:hAnsi="Calibri" w:cs="Calibri"/>
          <w:color w:val="0D0D0D"/>
          <w:sz w:val="20"/>
          <w:lang w:eastAsia="zh-TW"/>
        </w:rPr>
        <w:t>, “</w:t>
      </w:r>
      <w:r w:rsidR="006E0866" w:rsidRPr="006E0866">
        <w:rPr>
          <w:rFonts w:ascii="Calibri" w:eastAsia="新細明體" w:hAnsi="Calibri" w:cs="Calibri"/>
          <w:color w:val="0D0D0D"/>
          <w:sz w:val="20"/>
          <w:lang w:eastAsia="zh-TW"/>
        </w:rPr>
        <w:t>Ad hoc minutes for NR signalling characteristic RRM requirements</w:t>
      </w:r>
      <w:r w:rsidR="006E0866">
        <w:rPr>
          <w:rFonts w:ascii="Calibri" w:eastAsia="新細明體" w:hAnsi="Calibri" w:cs="Calibri"/>
          <w:color w:val="0D0D0D"/>
          <w:sz w:val="20"/>
          <w:lang w:eastAsia="zh-TW"/>
        </w:rPr>
        <w:t>”, Intel</w:t>
      </w:r>
    </w:p>
    <w:p w:rsidR="0034286F" w:rsidRDefault="0034286F"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[4] R4-1900516, “</w:t>
      </w:r>
      <w:r w:rsidRPr="0034286F">
        <w:rPr>
          <w:rFonts w:ascii="Calibri" w:eastAsia="新細明體" w:hAnsi="Calibri" w:cs="Calibri"/>
          <w:color w:val="0D0D0D"/>
          <w:sz w:val="20"/>
          <w:lang w:eastAsia="zh-TW"/>
        </w:rPr>
        <w:t>Remaining Issues on BWP Switch Delay</w:t>
      </w:r>
      <w:r>
        <w:rPr>
          <w:rFonts w:ascii="Calibri" w:eastAsia="新細明體" w:hAnsi="Calibri" w:cs="Calibri"/>
          <w:color w:val="0D0D0D"/>
          <w:sz w:val="20"/>
          <w:lang w:eastAsia="zh-TW"/>
        </w:rPr>
        <w:t xml:space="preserve">”, </w:t>
      </w:r>
      <w:r w:rsidRPr="0034286F">
        <w:rPr>
          <w:rFonts w:ascii="Calibri" w:eastAsia="新細明體" w:hAnsi="Calibri" w:cs="Calibri"/>
          <w:color w:val="0D0D0D"/>
          <w:sz w:val="20"/>
          <w:lang w:eastAsia="zh-TW"/>
        </w:rPr>
        <w:t>MediaTek Inc.</w:t>
      </w:r>
    </w:p>
    <w:p w:rsidR="006C4A2D" w:rsidRPr="006C4A2D" w:rsidRDefault="006C4A2D" w:rsidP="006E0866">
      <w:pPr>
        <w:pStyle w:val="Heading1"/>
        <w:rPr>
          <w:lang w:eastAsia="zh-TW"/>
        </w:rPr>
      </w:pPr>
      <w:r>
        <w:rPr>
          <w:rFonts w:ascii="Calibri" w:eastAsia="新細明體" w:hAnsi="Calibri" w:cs="Calibri"/>
          <w:b/>
          <w:color w:val="0D0D0D"/>
          <w:sz w:val="24"/>
          <w:szCs w:val="24"/>
          <w:lang w:eastAsia="zh-TW"/>
        </w:rPr>
        <w:t>Appendix</w:t>
      </w:r>
      <w:r w:rsidR="006E0866">
        <w:rPr>
          <w:rFonts w:ascii="Times New Roman" w:eastAsiaTheme="majorEastAsia" w:hAnsi="Times New Roman"/>
          <w:color w:val="000000"/>
          <w:sz w:val="26"/>
          <w:szCs w:val="26"/>
          <w:lang w:val="en-US" w:eastAsia="zh-CN"/>
        </w:rPr>
        <w:t xml:space="preserve"> </w:t>
      </w: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1FB" w:rsidRDefault="001251FB" w:rsidP="008B46F2">
      <w:pPr>
        <w:spacing w:after="0" w:line="240" w:lineRule="auto"/>
      </w:pPr>
      <w:r>
        <w:separator/>
      </w:r>
    </w:p>
  </w:endnote>
  <w:endnote w:type="continuationSeparator" w:id="0">
    <w:p w:rsidR="001251FB" w:rsidRDefault="001251FB"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1FB" w:rsidRDefault="001251FB" w:rsidP="008B46F2">
      <w:pPr>
        <w:spacing w:after="0" w:line="240" w:lineRule="auto"/>
      </w:pPr>
      <w:r>
        <w:separator/>
      </w:r>
    </w:p>
  </w:footnote>
  <w:footnote w:type="continuationSeparator" w:id="0">
    <w:p w:rsidR="001251FB" w:rsidRDefault="001251FB"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10522D8"/>
    <w:multiLevelType w:val="hybridMultilevel"/>
    <w:tmpl w:val="C25A8E96"/>
    <w:lvl w:ilvl="0" w:tplc="901C25A4">
      <w:start w:val="1"/>
      <w:numFmt w:val="bullet"/>
      <w:lvlText w:val="•"/>
      <w:lvlJc w:val="left"/>
      <w:pPr>
        <w:tabs>
          <w:tab w:val="num" w:pos="1080"/>
        </w:tabs>
        <w:ind w:left="1080" w:hanging="360"/>
      </w:pPr>
      <w:rPr>
        <w:rFonts w:ascii="Arial" w:hAnsi="Arial" w:hint="default"/>
      </w:rPr>
    </w:lvl>
    <w:lvl w:ilvl="1" w:tplc="809C7CE6">
      <w:start w:val="1"/>
      <w:numFmt w:val="bullet"/>
      <w:lvlText w:val="•"/>
      <w:lvlJc w:val="left"/>
      <w:pPr>
        <w:tabs>
          <w:tab w:val="num" w:pos="1800"/>
        </w:tabs>
        <w:ind w:left="1800" w:hanging="360"/>
      </w:pPr>
      <w:rPr>
        <w:rFonts w:ascii="Arial" w:hAnsi="Arial" w:hint="default"/>
      </w:rPr>
    </w:lvl>
    <w:lvl w:ilvl="2" w:tplc="0AB2C45C">
      <w:start w:val="1"/>
      <w:numFmt w:val="bullet"/>
      <w:lvlText w:val="•"/>
      <w:lvlJc w:val="left"/>
      <w:pPr>
        <w:tabs>
          <w:tab w:val="num" w:pos="2520"/>
        </w:tabs>
        <w:ind w:left="2520" w:hanging="360"/>
      </w:pPr>
      <w:rPr>
        <w:rFonts w:ascii="Arial" w:hAnsi="Arial" w:hint="default"/>
      </w:rPr>
    </w:lvl>
    <w:lvl w:ilvl="3" w:tplc="97DAF622" w:tentative="1">
      <w:start w:val="1"/>
      <w:numFmt w:val="bullet"/>
      <w:lvlText w:val="•"/>
      <w:lvlJc w:val="left"/>
      <w:pPr>
        <w:tabs>
          <w:tab w:val="num" w:pos="3240"/>
        </w:tabs>
        <w:ind w:left="3240" w:hanging="360"/>
      </w:pPr>
      <w:rPr>
        <w:rFonts w:ascii="Arial" w:hAnsi="Arial" w:hint="default"/>
      </w:rPr>
    </w:lvl>
    <w:lvl w:ilvl="4" w:tplc="2F3ED6EC" w:tentative="1">
      <w:start w:val="1"/>
      <w:numFmt w:val="bullet"/>
      <w:lvlText w:val="•"/>
      <w:lvlJc w:val="left"/>
      <w:pPr>
        <w:tabs>
          <w:tab w:val="num" w:pos="3960"/>
        </w:tabs>
        <w:ind w:left="3960" w:hanging="360"/>
      </w:pPr>
      <w:rPr>
        <w:rFonts w:ascii="Arial" w:hAnsi="Arial" w:hint="default"/>
      </w:rPr>
    </w:lvl>
    <w:lvl w:ilvl="5" w:tplc="CB86887E" w:tentative="1">
      <w:start w:val="1"/>
      <w:numFmt w:val="bullet"/>
      <w:lvlText w:val="•"/>
      <w:lvlJc w:val="left"/>
      <w:pPr>
        <w:tabs>
          <w:tab w:val="num" w:pos="4680"/>
        </w:tabs>
        <w:ind w:left="4680" w:hanging="360"/>
      </w:pPr>
      <w:rPr>
        <w:rFonts w:ascii="Arial" w:hAnsi="Arial" w:hint="default"/>
      </w:rPr>
    </w:lvl>
    <w:lvl w:ilvl="6" w:tplc="BC1634EA" w:tentative="1">
      <w:start w:val="1"/>
      <w:numFmt w:val="bullet"/>
      <w:lvlText w:val="•"/>
      <w:lvlJc w:val="left"/>
      <w:pPr>
        <w:tabs>
          <w:tab w:val="num" w:pos="5400"/>
        </w:tabs>
        <w:ind w:left="5400" w:hanging="360"/>
      </w:pPr>
      <w:rPr>
        <w:rFonts w:ascii="Arial" w:hAnsi="Arial" w:hint="default"/>
      </w:rPr>
    </w:lvl>
    <w:lvl w:ilvl="7" w:tplc="5F305366" w:tentative="1">
      <w:start w:val="1"/>
      <w:numFmt w:val="bullet"/>
      <w:lvlText w:val="•"/>
      <w:lvlJc w:val="left"/>
      <w:pPr>
        <w:tabs>
          <w:tab w:val="num" w:pos="6120"/>
        </w:tabs>
        <w:ind w:left="6120" w:hanging="360"/>
      </w:pPr>
      <w:rPr>
        <w:rFonts w:ascii="Arial" w:hAnsi="Arial" w:hint="default"/>
      </w:rPr>
    </w:lvl>
    <w:lvl w:ilvl="8" w:tplc="FDEC092C"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7D19"/>
    <w:multiLevelType w:val="hybridMultilevel"/>
    <w:tmpl w:val="0D583926"/>
    <w:lvl w:ilvl="0" w:tplc="F8661836">
      <w:start w:val="1"/>
      <w:numFmt w:val="bullet"/>
      <w:lvlText w:val="•"/>
      <w:lvlJc w:val="left"/>
      <w:pPr>
        <w:tabs>
          <w:tab w:val="num" w:pos="1080"/>
        </w:tabs>
        <w:ind w:left="1080" w:hanging="360"/>
      </w:pPr>
      <w:rPr>
        <w:rFonts w:ascii="Arial" w:hAnsi="Arial" w:hint="default"/>
      </w:rPr>
    </w:lvl>
    <w:lvl w:ilvl="1" w:tplc="3BB04C92">
      <w:start w:val="1"/>
      <w:numFmt w:val="bullet"/>
      <w:lvlText w:val="•"/>
      <w:lvlJc w:val="left"/>
      <w:pPr>
        <w:tabs>
          <w:tab w:val="num" w:pos="1800"/>
        </w:tabs>
        <w:ind w:left="1800" w:hanging="360"/>
      </w:pPr>
      <w:rPr>
        <w:rFonts w:ascii="Arial" w:hAnsi="Arial" w:hint="default"/>
      </w:rPr>
    </w:lvl>
    <w:lvl w:ilvl="2" w:tplc="DF7A09C4">
      <w:start w:val="1"/>
      <w:numFmt w:val="bullet"/>
      <w:lvlText w:val="•"/>
      <w:lvlJc w:val="left"/>
      <w:pPr>
        <w:tabs>
          <w:tab w:val="num" w:pos="2520"/>
        </w:tabs>
        <w:ind w:left="2520" w:hanging="360"/>
      </w:pPr>
      <w:rPr>
        <w:rFonts w:ascii="Arial" w:hAnsi="Arial" w:hint="default"/>
      </w:rPr>
    </w:lvl>
    <w:lvl w:ilvl="3" w:tplc="28BAE304" w:tentative="1">
      <w:start w:val="1"/>
      <w:numFmt w:val="bullet"/>
      <w:lvlText w:val="•"/>
      <w:lvlJc w:val="left"/>
      <w:pPr>
        <w:tabs>
          <w:tab w:val="num" w:pos="3240"/>
        </w:tabs>
        <w:ind w:left="3240" w:hanging="360"/>
      </w:pPr>
      <w:rPr>
        <w:rFonts w:ascii="Arial" w:hAnsi="Arial" w:hint="default"/>
      </w:rPr>
    </w:lvl>
    <w:lvl w:ilvl="4" w:tplc="BA88AB7E" w:tentative="1">
      <w:start w:val="1"/>
      <w:numFmt w:val="bullet"/>
      <w:lvlText w:val="•"/>
      <w:lvlJc w:val="left"/>
      <w:pPr>
        <w:tabs>
          <w:tab w:val="num" w:pos="3960"/>
        </w:tabs>
        <w:ind w:left="3960" w:hanging="360"/>
      </w:pPr>
      <w:rPr>
        <w:rFonts w:ascii="Arial" w:hAnsi="Arial" w:hint="default"/>
      </w:rPr>
    </w:lvl>
    <w:lvl w:ilvl="5" w:tplc="868C28A4" w:tentative="1">
      <w:start w:val="1"/>
      <w:numFmt w:val="bullet"/>
      <w:lvlText w:val="•"/>
      <w:lvlJc w:val="left"/>
      <w:pPr>
        <w:tabs>
          <w:tab w:val="num" w:pos="4680"/>
        </w:tabs>
        <w:ind w:left="4680" w:hanging="360"/>
      </w:pPr>
      <w:rPr>
        <w:rFonts w:ascii="Arial" w:hAnsi="Arial" w:hint="default"/>
      </w:rPr>
    </w:lvl>
    <w:lvl w:ilvl="6" w:tplc="A860DE66" w:tentative="1">
      <w:start w:val="1"/>
      <w:numFmt w:val="bullet"/>
      <w:lvlText w:val="•"/>
      <w:lvlJc w:val="left"/>
      <w:pPr>
        <w:tabs>
          <w:tab w:val="num" w:pos="5400"/>
        </w:tabs>
        <w:ind w:left="5400" w:hanging="360"/>
      </w:pPr>
      <w:rPr>
        <w:rFonts w:ascii="Arial" w:hAnsi="Arial" w:hint="default"/>
      </w:rPr>
    </w:lvl>
    <w:lvl w:ilvl="7" w:tplc="97285E20" w:tentative="1">
      <w:start w:val="1"/>
      <w:numFmt w:val="bullet"/>
      <w:lvlText w:val="•"/>
      <w:lvlJc w:val="left"/>
      <w:pPr>
        <w:tabs>
          <w:tab w:val="num" w:pos="6120"/>
        </w:tabs>
        <w:ind w:left="6120" w:hanging="360"/>
      </w:pPr>
      <w:rPr>
        <w:rFonts w:ascii="Arial" w:hAnsi="Arial" w:hint="default"/>
      </w:rPr>
    </w:lvl>
    <w:lvl w:ilvl="8" w:tplc="4DF666D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0A0551"/>
    <w:multiLevelType w:val="hybridMultilevel"/>
    <w:tmpl w:val="6D303538"/>
    <w:lvl w:ilvl="0" w:tplc="FFFFFFFF">
      <w:start w:val="1"/>
      <w:numFmt w:val="bullet"/>
      <w:lvlText w:val=""/>
      <w:lvlJc w:val="left"/>
      <w:pPr>
        <w:ind w:left="360" w:hanging="360"/>
      </w:pPr>
      <w:rPr>
        <w:rFonts w:ascii="Wingdings" w:hAnsi="Wingdings" w:hint="default"/>
      </w:rPr>
    </w:lvl>
    <w:lvl w:ilvl="1" w:tplc="24620CAE">
      <w:start w:val="1"/>
      <w:numFmt w:val="bullet"/>
      <w:lvlText w:val=""/>
      <w:lvlJc w:val="left"/>
      <w:pPr>
        <w:ind w:left="800" w:hanging="400"/>
      </w:pPr>
      <w:rPr>
        <w:rFonts w:ascii="Symbol" w:hAnsi="Symbol" w:hint="default"/>
      </w:rPr>
    </w:lvl>
    <w:lvl w:ilvl="2" w:tplc="86002420">
      <w:start w:val="1"/>
      <w:numFmt w:val="bullet"/>
      <w:lvlText w:val=""/>
      <w:lvlJc w:val="left"/>
      <w:pPr>
        <w:ind w:left="1200" w:hanging="400"/>
      </w:pPr>
      <w:rPr>
        <w:rFonts w:ascii="Symbol" w:hAnsi="Symbol" w:hint="default"/>
      </w:rPr>
    </w:lvl>
    <w:lvl w:ilvl="3" w:tplc="040C0001">
      <w:start w:val="1"/>
      <w:numFmt w:val="bullet"/>
      <w:lvlText w:val=""/>
      <w:lvlJc w:val="left"/>
      <w:pPr>
        <w:ind w:left="1600" w:hanging="400"/>
      </w:pPr>
      <w:rPr>
        <w:rFonts w:ascii="Symbol" w:hAnsi="Symbol" w:hint="default"/>
      </w:rPr>
    </w:lvl>
    <w:lvl w:ilvl="4" w:tplc="040C0003">
      <w:start w:val="1"/>
      <w:numFmt w:val="bullet"/>
      <w:lvlText w:val=""/>
      <w:lvlJc w:val="left"/>
      <w:pPr>
        <w:ind w:left="2000" w:hanging="400"/>
      </w:pPr>
      <w:rPr>
        <w:rFonts w:ascii="Symbol" w:hAnsi="Symbol" w:hint="default"/>
      </w:rPr>
    </w:lvl>
    <w:lvl w:ilvl="5" w:tplc="040C0005" w:tentative="1">
      <w:start w:val="1"/>
      <w:numFmt w:val="lowerRoman"/>
      <w:lvlText w:val="%6."/>
      <w:lvlJc w:val="right"/>
      <w:pPr>
        <w:ind w:left="2400" w:hanging="400"/>
      </w:pPr>
    </w:lvl>
    <w:lvl w:ilvl="6" w:tplc="040C0001" w:tentative="1">
      <w:start w:val="1"/>
      <w:numFmt w:val="decimal"/>
      <w:lvlText w:val="%7."/>
      <w:lvlJc w:val="left"/>
      <w:pPr>
        <w:ind w:left="2800" w:hanging="400"/>
      </w:pPr>
    </w:lvl>
    <w:lvl w:ilvl="7" w:tplc="040C0003" w:tentative="1">
      <w:start w:val="1"/>
      <w:numFmt w:val="upperLetter"/>
      <w:lvlText w:val="%8."/>
      <w:lvlJc w:val="left"/>
      <w:pPr>
        <w:ind w:left="3200" w:hanging="400"/>
      </w:pPr>
    </w:lvl>
    <w:lvl w:ilvl="8" w:tplc="040C0005" w:tentative="1">
      <w:start w:val="1"/>
      <w:numFmt w:val="lowerRoman"/>
      <w:lvlText w:val="%9."/>
      <w:lvlJc w:val="right"/>
      <w:pPr>
        <w:ind w:left="3600" w:hanging="400"/>
      </w:pPr>
    </w:lvl>
  </w:abstractNum>
  <w:abstractNum w:abstractNumId="18"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3"/>
  </w:num>
  <w:num w:numId="4">
    <w:abstractNumId w:val="1"/>
  </w:num>
  <w:num w:numId="5">
    <w:abstractNumId w:val="24"/>
  </w:num>
  <w:num w:numId="6">
    <w:abstractNumId w:val="25"/>
  </w:num>
  <w:num w:numId="7">
    <w:abstractNumId w:val="18"/>
  </w:num>
  <w:num w:numId="8">
    <w:abstractNumId w:val="8"/>
  </w:num>
  <w:num w:numId="9">
    <w:abstractNumId w:val="9"/>
  </w:num>
  <w:num w:numId="10">
    <w:abstractNumId w:val="0"/>
  </w:num>
  <w:num w:numId="11">
    <w:abstractNumId w:val="16"/>
  </w:num>
  <w:num w:numId="12">
    <w:abstractNumId w:val="23"/>
  </w:num>
  <w:num w:numId="13">
    <w:abstractNumId w:val="10"/>
  </w:num>
  <w:num w:numId="14">
    <w:abstractNumId w:val="26"/>
  </w:num>
  <w:num w:numId="15">
    <w:abstractNumId w:val="15"/>
  </w:num>
  <w:num w:numId="16">
    <w:abstractNumId w:val="6"/>
  </w:num>
  <w:num w:numId="17">
    <w:abstractNumId w:val="20"/>
  </w:num>
  <w:num w:numId="18">
    <w:abstractNumId w:val="12"/>
  </w:num>
  <w:num w:numId="19">
    <w:abstractNumId w:val="22"/>
  </w:num>
  <w:num w:numId="20">
    <w:abstractNumId w:val="19"/>
  </w:num>
  <w:num w:numId="21">
    <w:abstractNumId w:val="14"/>
  </w:num>
  <w:num w:numId="22">
    <w:abstractNumId w:val="5"/>
  </w:num>
  <w:num w:numId="23">
    <w:abstractNumId w:val="11"/>
  </w:num>
  <w:num w:numId="24">
    <w:abstractNumId w:val="4"/>
  </w:num>
  <w:num w:numId="25">
    <w:abstractNumId w:val="3"/>
  </w:num>
  <w:num w:numId="26">
    <w:abstractNumId w:val="2"/>
  </w:num>
  <w:num w:numId="27">
    <w:abstractNumId w:val="7"/>
  </w:num>
  <w:num w:numId="2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00B"/>
    <w:rsid w:val="00003D39"/>
    <w:rsid w:val="00005F93"/>
    <w:rsid w:val="000124A6"/>
    <w:rsid w:val="0001476F"/>
    <w:rsid w:val="000200EB"/>
    <w:rsid w:val="00025EAD"/>
    <w:rsid w:val="000264B3"/>
    <w:rsid w:val="00040AE5"/>
    <w:rsid w:val="00045178"/>
    <w:rsid w:val="0004581B"/>
    <w:rsid w:val="00051BFF"/>
    <w:rsid w:val="00052C73"/>
    <w:rsid w:val="00053C66"/>
    <w:rsid w:val="00054A75"/>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1FB"/>
    <w:rsid w:val="001253A0"/>
    <w:rsid w:val="00131E64"/>
    <w:rsid w:val="00132E46"/>
    <w:rsid w:val="00142A74"/>
    <w:rsid w:val="00142F86"/>
    <w:rsid w:val="00143177"/>
    <w:rsid w:val="00143658"/>
    <w:rsid w:val="00144FB3"/>
    <w:rsid w:val="00150268"/>
    <w:rsid w:val="001507E0"/>
    <w:rsid w:val="001512F6"/>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1E47"/>
    <w:rsid w:val="001B363A"/>
    <w:rsid w:val="001B579F"/>
    <w:rsid w:val="001C090E"/>
    <w:rsid w:val="001C41AB"/>
    <w:rsid w:val="001C4BF2"/>
    <w:rsid w:val="001D257C"/>
    <w:rsid w:val="001E160E"/>
    <w:rsid w:val="001E5079"/>
    <w:rsid w:val="001E6A15"/>
    <w:rsid w:val="001E6B2B"/>
    <w:rsid w:val="001F1422"/>
    <w:rsid w:val="001F2C71"/>
    <w:rsid w:val="001F3963"/>
    <w:rsid w:val="001F3A50"/>
    <w:rsid w:val="001F5CF3"/>
    <w:rsid w:val="001F70A4"/>
    <w:rsid w:val="002046B2"/>
    <w:rsid w:val="00206812"/>
    <w:rsid w:val="00206BED"/>
    <w:rsid w:val="00210B7E"/>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412B"/>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289"/>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6A7C"/>
    <w:rsid w:val="00317844"/>
    <w:rsid w:val="00317CB3"/>
    <w:rsid w:val="003225F1"/>
    <w:rsid w:val="0032270C"/>
    <w:rsid w:val="00324B1E"/>
    <w:rsid w:val="0033075A"/>
    <w:rsid w:val="00331B27"/>
    <w:rsid w:val="00332B16"/>
    <w:rsid w:val="00333ED5"/>
    <w:rsid w:val="00337EC4"/>
    <w:rsid w:val="00342262"/>
    <w:rsid w:val="0034272F"/>
    <w:rsid w:val="0034286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E3C1C"/>
    <w:rsid w:val="003E66CC"/>
    <w:rsid w:val="003F0E9A"/>
    <w:rsid w:val="003F4C52"/>
    <w:rsid w:val="003F69F7"/>
    <w:rsid w:val="0040024B"/>
    <w:rsid w:val="00403ED0"/>
    <w:rsid w:val="00404714"/>
    <w:rsid w:val="00405966"/>
    <w:rsid w:val="00410359"/>
    <w:rsid w:val="004149C3"/>
    <w:rsid w:val="00416D77"/>
    <w:rsid w:val="0042172A"/>
    <w:rsid w:val="00421D97"/>
    <w:rsid w:val="00421F6B"/>
    <w:rsid w:val="0042222E"/>
    <w:rsid w:val="00422B53"/>
    <w:rsid w:val="00426796"/>
    <w:rsid w:val="00427CC1"/>
    <w:rsid w:val="00427E19"/>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09C6"/>
    <w:rsid w:val="004939A0"/>
    <w:rsid w:val="00493B42"/>
    <w:rsid w:val="00494E74"/>
    <w:rsid w:val="00495B09"/>
    <w:rsid w:val="00496B80"/>
    <w:rsid w:val="004976C5"/>
    <w:rsid w:val="00497CF2"/>
    <w:rsid w:val="004A5BF0"/>
    <w:rsid w:val="004A601B"/>
    <w:rsid w:val="004A6A31"/>
    <w:rsid w:val="004A7DFE"/>
    <w:rsid w:val="004A7E06"/>
    <w:rsid w:val="004B18B7"/>
    <w:rsid w:val="004B2BFE"/>
    <w:rsid w:val="004B3278"/>
    <w:rsid w:val="004C0E5F"/>
    <w:rsid w:val="004C1E3A"/>
    <w:rsid w:val="004C40CC"/>
    <w:rsid w:val="004C5A8D"/>
    <w:rsid w:val="004C64BD"/>
    <w:rsid w:val="004C6C43"/>
    <w:rsid w:val="004D04F9"/>
    <w:rsid w:val="004D05EF"/>
    <w:rsid w:val="004D4753"/>
    <w:rsid w:val="004E0015"/>
    <w:rsid w:val="004E09E4"/>
    <w:rsid w:val="004E36CE"/>
    <w:rsid w:val="004E3927"/>
    <w:rsid w:val="004E4887"/>
    <w:rsid w:val="004E4955"/>
    <w:rsid w:val="004F3668"/>
    <w:rsid w:val="004F4208"/>
    <w:rsid w:val="004F497A"/>
    <w:rsid w:val="004F4ECE"/>
    <w:rsid w:val="004F77A6"/>
    <w:rsid w:val="00502D59"/>
    <w:rsid w:val="00503AD1"/>
    <w:rsid w:val="005046E2"/>
    <w:rsid w:val="00505955"/>
    <w:rsid w:val="005059EE"/>
    <w:rsid w:val="00506AD8"/>
    <w:rsid w:val="005109F5"/>
    <w:rsid w:val="0051325B"/>
    <w:rsid w:val="00515004"/>
    <w:rsid w:val="0051555B"/>
    <w:rsid w:val="00516C88"/>
    <w:rsid w:val="00517915"/>
    <w:rsid w:val="005179EC"/>
    <w:rsid w:val="00520902"/>
    <w:rsid w:val="0052200C"/>
    <w:rsid w:val="005226D7"/>
    <w:rsid w:val="0052399A"/>
    <w:rsid w:val="00524946"/>
    <w:rsid w:val="005266D0"/>
    <w:rsid w:val="005340C0"/>
    <w:rsid w:val="00534F6E"/>
    <w:rsid w:val="00535129"/>
    <w:rsid w:val="00537F65"/>
    <w:rsid w:val="005424C8"/>
    <w:rsid w:val="00542D4A"/>
    <w:rsid w:val="0054550E"/>
    <w:rsid w:val="00547527"/>
    <w:rsid w:val="005515B0"/>
    <w:rsid w:val="00560D26"/>
    <w:rsid w:val="005722FF"/>
    <w:rsid w:val="005755F4"/>
    <w:rsid w:val="005806E2"/>
    <w:rsid w:val="0058123B"/>
    <w:rsid w:val="00583831"/>
    <w:rsid w:val="00585012"/>
    <w:rsid w:val="00585A06"/>
    <w:rsid w:val="005865DF"/>
    <w:rsid w:val="00587CCC"/>
    <w:rsid w:val="00590862"/>
    <w:rsid w:val="00590D9F"/>
    <w:rsid w:val="005917E4"/>
    <w:rsid w:val="00592813"/>
    <w:rsid w:val="00593178"/>
    <w:rsid w:val="00593B3B"/>
    <w:rsid w:val="00594EC9"/>
    <w:rsid w:val="005A0A12"/>
    <w:rsid w:val="005A0D71"/>
    <w:rsid w:val="005A15EA"/>
    <w:rsid w:val="005A315A"/>
    <w:rsid w:val="005B1303"/>
    <w:rsid w:val="005B1696"/>
    <w:rsid w:val="005B20E8"/>
    <w:rsid w:val="005B2ABE"/>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0C70"/>
    <w:rsid w:val="00611FCD"/>
    <w:rsid w:val="00613426"/>
    <w:rsid w:val="00614909"/>
    <w:rsid w:val="00614A7D"/>
    <w:rsid w:val="00615773"/>
    <w:rsid w:val="00616A16"/>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532C"/>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6BC5"/>
    <w:rsid w:val="006B7556"/>
    <w:rsid w:val="006B76E4"/>
    <w:rsid w:val="006C02D2"/>
    <w:rsid w:val="006C0A64"/>
    <w:rsid w:val="006C4A2D"/>
    <w:rsid w:val="006D20C2"/>
    <w:rsid w:val="006E0653"/>
    <w:rsid w:val="006E0866"/>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360B"/>
    <w:rsid w:val="00723D5A"/>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3CED"/>
    <w:rsid w:val="00764B68"/>
    <w:rsid w:val="0076595D"/>
    <w:rsid w:val="00766477"/>
    <w:rsid w:val="00772878"/>
    <w:rsid w:val="007807F4"/>
    <w:rsid w:val="007809D8"/>
    <w:rsid w:val="00781BA0"/>
    <w:rsid w:val="00786FC5"/>
    <w:rsid w:val="00790A36"/>
    <w:rsid w:val="00791BDC"/>
    <w:rsid w:val="00796712"/>
    <w:rsid w:val="00797684"/>
    <w:rsid w:val="00797A38"/>
    <w:rsid w:val="007A0A2D"/>
    <w:rsid w:val="007A2398"/>
    <w:rsid w:val="007A42E9"/>
    <w:rsid w:val="007B5A95"/>
    <w:rsid w:val="007C2F19"/>
    <w:rsid w:val="007C4070"/>
    <w:rsid w:val="007C69DE"/>
    <w:rsid w:val="007D1446"/>
    <w:rsid w:val="007D55DB"/>
    <w:rsid w:val="007E2F64"/>
    <w:rsid w:val="007E5F83"/>
    <w:rsid w:val="007E6279"/>
    <w:rsid w:val="007E6901"/>
    <w:rsid w:val="007E767B"/>
    <w:rsid w:val="007E7F43"/>
    <w:rsid w:val="007F00A9"/>
    <w:rsid w:val="007F5938"/>
    <w:rsid w:val="007F6199"/>
    <w:rsid w:val="00800788"/>
    <w:rsid w:val="0080175B"/>
    <w:rsid w:val="00805CCA"/>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56A4B"/>
    <w:rsid w:val="00863843"/>
    <w:rsid w:val="00864158"/>
    <w:rsid w:val="00864F8E"/>
    <w:rsid w:val="00865E0A"/>
    <w:rsid w:val="0087195F"/>
    <w:rsid w:val="00873DE4"/>
    <w:rsid w:val="008766EC"/>
    <w:rsid w:val="008800F4"/>
    <w:rsid w:val="00880EA6"/>
    <w:rsid w:val="00885174"/>
    <w:rsid w:val="0089738D"/>
    <w:rsid w:val="008A1824"/>
    <w:rsid w:val="008A4FC6"/>
    <w:rsid w:val="008A55AB"/>
    <w:rsid w:val="008B358F"/>
    <w:rsid w:val="008B46F2"/>
    <w:rsid w:val="008B4B20"/>
    <w:rsid w:val="008B6D18"/>
    <w:rsid w:val="008B6FAF"/>
    <w:rsid w:val="008C0DCB"/>
    <w:rsid w:val="008C1AB9"/>
    <w:rsid w:val="008C77BE"/>
    <w:rsid w:val="008D096D"/>
    <w:rsid w:val="008D15E8"/>
    <w:rsid w:val="008D1F1C"/>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1845"/>
    <w:rsid w:val="009139BF"/>
    <w:rsid w:val="009166AC"/>
    <w:rsid w:val="0091725A"/>
    <w:rsid w:val="00922EF9"/>
    <w:rsid w:val="0092372D"/>
    <w:rsid w:val="00925E48"/>
    <w:rsid w:val="009267F3"/>
    <w:rsid w:val="009312C1"/>
    <w:rsid w:val="009337B1"/>
    <w:rsid w:val="00934044"/>
    <w:rsid w:val="00936B79"/>
    <w:rsid w:val="009402B3"/>
    <w:rsid w:val="00941CB1"/>
    <w:rsid w:val="009424F0"/>
    <w:rsid w:val="00942953"/>
    <w:rsid w:val="00946123"/>
    <w:rsid w:val="009473B5"/>
    <w:rsid w:val="00951A20"/>
    <w:rsid w:val="00952D77"/>
    <w:rsid w:val="00953218"/>
    <w:rsid w:val="00955DF1"/>
    <w:rsid w:val="00957173"/>
    <w:rsid w:val="00963344"/>
    <w:rsid w:val="00965706"/>
    <w:rsid w:val="00966AA9"/>
    <w:rsid w:val="00970641"/>
    <w:rsid w:val="009724DB"/>
    <w:rsid w:val="009729EF"/>
    <w:rsid w:val="00973E36"/>
    <w:rsid w:val="00973FD5"/>
    <w:rsid w:val="009751FE"/>
    <w:rsid w:val="00975CBD"/>
    <w:rsid w:val="00975ED4"/>
    <w:rsid w:val="00976891"/>
    <w:rsid w:val="00976E07"/>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D435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40BB"/>
    <w:rsid w:val="00A352D3"/>
    <w:rsid w:val="00A3684D"/>
    <w:rsid w:val="00A37352"/>
    <w:rsid w:val="00A37F9F"/>
    <w:rsid w:val="00A40DA0"/>
    <w:rsid w:val="00A42B0C"/>
    <w:rsid w:val="00A447ED"/>
    <w:rsid w:val="00A44DFE"/>
    <w:rsid w:val="00A45F14"/>
    <w:rsid w:val="00A4666D"/>
    <w:rsid w:val="00A47474"/>
    <w:rsid w:val="00A501B7"/>
    <w:rsid w:val="00A52F2C"/>
    <w:rsid w:val="00A563D2"/>
    <w:rsid w:val="00A5653E"/>
    <w:rsid w:val="00A64D5D"/>
    <w:rsid w:val="00A70087"/>
    <w:rsid w:val="00A72E25"/>
    <w:rsid w:val="00A73AF2"/>
    <w:rsid w:val="00A82614"/>
    <w:rsid w:val="00A82910"/>
    <w:rsid w:val="00A83060"/>
    <w:rsid w:val="00A846B8"/>
    <w:rsid w:val="00A84C9A"/>
    <w:rsid w:val="00A8513F"/>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0965"/>
    <w:rsid w:val="00B11B22"/>
    <w:rsid w:val="00B12A4A"/>
    <w:rsid w:val="00B145EC"/>
    <w:rsid w:val="00B17AEB"/>
    <w:rsid w:val="00B21CB0"/>
    <w:rsid w:val="00B246E4"/>
    <w:rsid w:val="00B24DAA"/>
    <w:rsid w:val="00B2627D"/>
    <w:rsid w:val="00B30255"/>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564D7"/>
    <w:rsid w:val="00B60E69"/>
    <w:rsid w:val="00B6226A"/>
    <w:rsid w:val="00B63111"/>
    <w:rsid w:val="00B63C66"/>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316D"/>
    <w:rsid w:val="00BF44DE"/>
    <w:rsid w:val="00BF4BEE"/>
    <w:rsid w:val="00BF5D78"/>
    <w:rsid w:val="00BF7926"/>
    <w:rsid w:val="00C009F9"/>
    <w:rsid w:val="00C0526A"/>
    <w:rsid w:val="00C06792"/>
    <w:rsid w:val="00C1414C"/>
    <w:rsid w:val="00C17988"/>
    <w:rsid w:val="00C179B1"/>
    <w:rsid w:val="00C20C04"/>
    <w:rsid w:val="00C23DB6"/>
    <w:rsid w:val="00C26F37"/>
    <w:rsid w:val="00C31B05"/>
    <w:rsid w:val="00C328AB"/>
    <w:rsid w:val="00C3475D"/>
    <w:rsid w:val="00C375EF"/>
    <w:rsid w:val="00C409B6"/>
    <w:rsid w:val="00C41C6C"/>
    <w:rsid w:val="00C42B54"/>
    <w:rsid w:val="00C43876"/>
    <w:rsid w:val="00C449AA"/>
    <w:rsid w:val="00C457C6"/>
    <w:rsid w:val="00C46D5B"/>
    <w:rsid w:val="00C470F0"/>
    <w:rsid w:val="00C51367"/>
    <w:rsid w:val="00C5178A"/>
    <w:rsid w:val="00C51E48"/>
    <w:rsid w:val="00C51ED5"/>
    <w:rsid w:val="00C53920"/>
    <w:rsid w:val="00C630D1"/>
    <w:rsid w:val="00C63433"/>
    <w:rsid w:val="00C64469"/>
    <w:rsid w:val="00C7093B"/>
    <w:rsid w:val="00C714B1"/>
    <w:rsid w:val="00C74D51"/>
    <w:rsid w:val="00C772C1"/>
    <w:rsid w:val="00C8046B"/>
    <w:rsid w:val="00C82393"/>
    <w:rsid w:val="00C827AD"/>
    <w:rsid w:val="00C82D18"/>
    <w:rsid w:val="00C82F7B"/>
    <w:rsid w:val="00C84C5E"/>
    <w:rsid w:val="00C85414"/>
    <w:rsid w:val="00C8562F"/>
    <w:rsid w:val="00C873C8"/>
    <w:rsid w:val="00C91CE2"/>
    <w:rsid w:val="00C956FD"/>
    <w:rsid w:val="00C97EC6"/>
    <w:rsid w:val="00CA13E3"/>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479A"/>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3F00"/>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A7D61"/>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04BF"/>
    <w:rsid w:val="00DF1139"/>
    <w:rsid w:val="00DF16F2"/>
    <w:rsid w:val="00DF39E2"/>
    <w:rsid w:val="00DF639F"/>
    <w:rsid w:val="00E00046"/>
    <w:rsid w:val="00E00789"/>
    <w:rsid w:val="00E01360"/>
    <w:rsid w:val="00E055C3"/>
    <w:rsid w:val="00E10336"/>
    <w:rsid w:val="00E1073D"/>
    <w:rsid w:val="00E1201C"/>
    <w:rsid w:val="00E12CD1"/>
    <w:rsid w:val="00E142D2"/>
    <w:rsid w:val="00E17455"/>
    <w:rsid w:val="00E22059"/>
    <w:rsid w:val="00E222DB"/>
    <w:rsid w:val="00E23F4C"/>
    <w:rsid w:val="00E258E8"/>
    <w:rsid w:val="00E263CC"/>
    <w:rsid w:val="00E2710F"/>
    <w:rsid w:val="00E305AE"/>
    <w:rsid w:val="00E3639D"/>
    <w:rsid w:val="00E37D66"/>
    <w:rsid w:val="00E40BCE"/>
    <w:rsid w:val="00E43EA4"/>
    <w:rsid w:val="00E441A7"/>
    <w:rsid w:val="00E45E17"/>
    <w:rsid w:val="00E45EFE"/>
    <w:rsid w:val="00E509E4"/>
    <w:rsid w:val="00E51351"/>
    <w:rsid w:val="00E52B2A"/>
    <w:rsid w:val="00E5381F"/>
    <w:rsid w:val="00E5472D"/>
    <w:rsid w:val="00E5641C"/>
    <w:rsid w:val="00E57E3D"/>
    <w:rsid w:val="00E679C3"/>
    <w:rsid w:val="00E70949"/>
    <w:rsid w:val="00E73A12"/>
    <w:rsid w:val="00E7404F"/>
    <w:rsid w:val="00E75F12"/>
    <w:rsid w:val="00E76BDA"/>
    <w:rsid w:val="00E77A6F"/>
    <w:rsid w:val="00E77F0F"/>
    <w:rsid w:val="00E80B85"/>
    <w:rsid w:val="00E818A0"/>
    <w:rsid w:val="00E81E59"/>
    <w:rsid w:val="00E828DB"/>
    <w:rsid w:val="00E82C86"/>
    <w:rsid w:val="00E83A7D"/>
    <w:rsid w:val="00E8441B"/>
    <w:rsid w:val="00E849E9"/>
    <w:rsid w:val="00E86949"/>
    <w:rsid w:val="00E86EF5"/>
    <w:rsid w:val="00E90315"/>
    <w:rsid w:val="00E9278B"/>
    <w:rsid w:val="00E95FBC"/>
    <w:rsid w:val="00EA0D1C"/>
    <w:rsid w:val="00EA435A"/>
    <w:rsid w:val="00EA5AA2"/>
    <w:rsid w:val="00EA5EC1"/>
    <w:rsid w:val="00EB1149"/>
    <w:rsid w:val="00EB27AB"/>
    <w:rsid w:val="00EB391A"/>
    <w:rsid w:val="00EB53A0"/>
    <w:rsid w:val="00EB594F"/>
    <w:rsid w:val="00EB647E"/>
    <w:rsid w:val="00EB68ED"/>
    <w:rsid w:val="00EB6AA0"/>
    <w:rsid w:val="00EC0FC3"/>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1D67"/>
    <w:rsid w:val="00F02EC6"/>
    <w:rsid w:val="00F03B91"/>
    <w:rsid w:val="00F0523E"/>
    <w:rsid w:val="00F055F9"/>
    <w:rsid w:val="00F0588F"/>
    <w:rsid w:val="00F05AF8"/>
    <w:rsid w:val="00F06B51"/>
    <w:rsid w:val="00F06D85"/>
    <w:rsid w:val="00F203CD"/>
    <w:rsid w:val="00F247B0"/>
    <w:rsid w:val="00F24C7F"/>
    <w:rsid w:val="00F25FD4"/>
    <w:rsid w:val="00F26B5C"/>
    <w:rsid w:val="00F274FB"/>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16C2"/>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 w:val="00FF15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BA0"/>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cs="Times New Roman"/>
      <w:b/>
      <w:lang w:eastAsia="zh-TW"/>
    </w:rPr>
  </w:style>
  <w:style w:type="paragraph" w:styleId="Caption">
    <w:name w:val="caption"/>
    <w:aliases w:val="cap,cap Char,Caption Char,Caption Char1 Char,cap Char Char1,Caption Char Char1 Char,cap Char2,题注"/>
    <w:basedOn w:val="Normal"/>
    <w:next w:val="Normal"/>
    <w:link w:val="CaptionChar1"/>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line="240" w:lineRule="auto"/>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列出段落,Lista1,?? ??,?????,????"/>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line="240" w:lineRule="auto"/>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Lista1 Char,?? ?? Char,????? Char,????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styleId="GridTable5Dark-Accent1">
    <w:name w:val="Grid Table 5 Dark Accent 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Heading4Char">
    <w:name w:val="Heading 4 Char"/>
    <w:basedOn w:val="DefaultParagraphFont"/>
    <w:link w:val="Heading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Hyperlink">
    <w:name w:val="Hyperlink"/>
    <w:basedOn w:val="DefaultParagraphFont"/>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Heading2Char">
    <w:name w:val="Heading 2 Char"/>
    <w:basedOn w:val="DefaultParagraphFont"/>
    <w:link w:val="Heading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Normal"/>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AN">
    <w:name w:val="TAN"/>
    <w:basedOn w:val="TAL"/>
    <w:link w:val="TANChar"/>
    <w:rsid w:val="00A8513F"/>
    <w:pPr>
      <w:spacing w:after="0" w:line="240" w:lineRule="auto"/>
      <w:ind w:left="851" w:hanging="851"/>
    </w:pPr>
    <w:rPr>
      <w:rFonts w:eastAsia="SimSun"/>
      <w:kern w:val="0"/>
      <w:szCs w:val="20"/>
      <w:lang w:val="en-GB" w:eastAsia="en-US"/>
    </w:rPr>
  </w:style>
  <w:style w:type="character" w:customStyle="1" w:styleId="TANChar">
    <w:name w:val="TAN Char"/>
    <w:link w:val="TAN"/>
    <w:rsid w:val="00A8513F"/>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470757941">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880629637">
      <w:bodyDiv w:val="1"/>
      <w:marLeft w:val="0"/>
      <w:marRight w:val="0"/>
      <w:marTop w:val="0"/>
      <w:marBottom w:val="0"/>
      <w:divBdr>
        <w:top w:val="none" w:sz="0" w:space="0" w:color="auto"/>
        <w:left w:val="none" w:sz="0" w:space="0" w:color="auto"/>
        <w:bottom w:val="none" w:sz="0" w:space="0" w:color="auto"/>
        <w:right w:val="none" w:sz="0" w:space="0" w:color="auto"/>
      </w:divBdr>
    </w:div>
    <w:div w:id="990594873">
      <w:bodyDiv w:val="1"/>
      <w:marLeft w:val="0"/>
      <w:marRight w:val="0"/>
      <w:marTop w:val="0"/>
      <w:marBottom w:val="0"/>
      <w:divBdr>
        <w:top w:val="none" w:sz="0" w:space="0" w:color="auto"/>
        <w:left w:val="none" w:sz="0" w:space="0" w:color="auto"/>
        <w:bottom w:val="none" w:sz="0" w:space="0" w:color="auto"/>
        <w:right w:val="none" w:sz="0" w:space="0" w:color="auto"/>
      </w:divBdr>
      <w:divsChild>
        <w:div w:id="418991247">
          <w:marLeft w:val="1714"/>
          <w:marRight w:val="0"/>
          <w:marTop w:val="106"/>
          <w:marBottom w:val="0"/>
          <w:divBdr>
            <w:top w:val="none" w:sz="0" w:space="0" w:color="auto"/>
            <w:left w:val="none" w:sz="0" w:space="0" w:color="auto"/>
            <w:bottom w:val="none" w:sz="0" w:space="0" w:color="auto"/>
            <w:right w:val="none" w:sz="0" w:space="0" w:color="auto"/>
          </w:divBdr>
        </w:div>
        <w:div w:id="1403600595">
          <w:marLeft w:val="1714"/>
          <w:marRight w:val="0"/>
          <w:marTop w:val="10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01668">
      <w:bodyDiv w:val="1"/>
      <w:marLeft w:val="0"/>
      <w:marRight w:val="0"/>
      <w:marTop w:val="0"/>
      <w:marBottom w:val="0"/>
      <w:divBdr>
        <w:top w:val="none" w:sz="0" w:space="0" w:color="auto"/>
        <w:left w:val="none" w:sz="0" w:space="0" w:color="auto"/>
        <w:bottom w:val="none" w:sz="0" w:space="0" w:color="auto"/>
        <w:right w:val="none" w:sz="0" w:space="0" w:color="auto"/>
      </w:divBdr>
    </w:div>
    <w:div w:id="1026248941">
      <w:bodyDiv w:val="1"/>
      <w:marLeft w:val="0"/>
      <w:marRight w:val="0"/>
      <w:marTop w:val="0"/>
      <w:marBottom w:val="0"/>
      <w:divBdr>
        <w:top w:val="none" w:sz="0" w:space="0" w:color="auto"/>
        <w:left w:val="none" w:sz="0" w:space="0" w:color="auto"/>
        <w:bottom w:val="none" w:sz="0" w:space="0" w:color="auto"/>
        <w:right w:val="none" w:sz="0" w:space="0" w:color="auto"/>
      </w:divBdr>
      <w:divsChild>
        <w:div w:id="815489848">
          <w:marLeft w:val="1714"/>
          <w:marRight w:val="0"/>
          <w:marTop w:val="106"/>
          <w:marBottom w:val="0"/>
          <w:divBdr>
            <w:top w:val="none" w:sz="0" w:space="0" w:color="auto"/>
            <w:left w:val="none" w:sz="0" w:space="0" w:color="auto"/>
            <w:bottom w:val="none" w:sz="0" w:space="0" w:color="auto"/>
            <w:right w:val="none" w:sz="0" w:space="0" w:color="auto"/>
          </w:divBdr>
        </w:div>
        <w:div w:id="1615287941">
          <w:marLeft w:val="1714"/>
          <w:marRight w:val="0"/>
          <w:marTop w:val="106"/>
          <w:marBottom w:val="0"/>
          <w:divBdr>
            <w:top w:val="none" w:sz="0" w:space="0" w:color="auto"/>
            <w:left w:val="none" w:sz="0" w:space="0" w:color="auto"/>
            <w:bottom w:val="none" w:sz="0" w:space="0" w:color="auto"/>
            <w:right w:val="none" w:sz="0" w:space="0" w:color="auto"/>
          </w:divBdr>
        </w:div>
      </w:divsChild>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2B4329-A775-42EF-A182-1ABB0DE4C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2</Pages>
  <Words>579</Words>
  <Characters>3301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58</cp:revision>
  <dcterms:created xsi:type="dcterms:W3CDTF">2019-02-07T15:07:00Z</dcterms:created>
  <dcterms:modified xsi:type="dcterms:W3CDTF">2019-05-03T07:36:00Z</dcterms:modified>
</cp:coreProperties>
</file>